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E717" w14:textId="77777777" w:rsidR="00603223" w:rsidRPr="00603223" w:rsidRDefault="00603223" w:rsidP="00603223">
      <w:pPr>
        <w:rPr>
          <w:b/>
          <w:bCs/>
        </w:rPr>
      </w:pPr>
      <w:r w:rsidRPr="00603223">
        <w:rPr>
          <w:b/>
          <w:bCs/>
        </w:rPr>
        <w:t>Etyka publikacyjna i procedura recenzowania</w:t>
      </w:r>
    </w:p>
    <w:p w14:paraId="31B5C350" w14:textId="77777777" w:rsidR="00603223" w:rsidRDefault="00603223" w:rsidP="00603223"/>
    <w:p w14:paraId="44600824" w14:textId="7DA80431" w:rsidR="00603223" w:rsidRPr="00603223" w:rsidRDefault="00603223" w:rsidP="00603223">
      <w:r w:rsidRPr="00603223">
        <w:t>Redakcja rocznika naukowego „</w:t>
      </w:r>
      <w:proofErr w:type="spellStart"/>
      <w:r w:rsidRPr="00603223">
        <w:t>Paideia</w:t>
      </w:r>
      <w:proofErr w:type="spellEnd"/>
      <w:r w:rsidRPr="00603223">
        <w:t xml:space="preserve">” przywiązuje szczególną wagę do rzetelności naukowej, transparentności procesu wydawniczego oraz odpowiedzialności autorów, recenzentów i redaktorów. W swojej działalności kieruje się dobrymi praktykami rekomendowanymi przez </w:t>
      </w:r>
      <w:proofErr w:type="spellStart"/>
      <w:r w:rsidRPr="00603223">
        <w:t>Committee</w:t>
      </w:r>
      <w:proofErr w:type="spellEnd"/>
      <w:r w:rsidRPr="00603223">
        <w:t xml:space="preserve"> on </w:t>
      </w:r>
      <w:proofErr w:type="spellStart"/>
      <w:r w:rsidRPr="00603223">
        <w:t>Publication</w:t>
      </w:r>
      <w:proofErr w:type="spellEnd"/>
      <w:r w:rsidRPr="00603223">
        <w:t xml:space="preserve"> </w:t>
      </w:r>
      <w:proofErr w:type="spellStart"/>
      <w:r w:rsidRPr="00603223">
        <w:t>Ethics</w:t>
      </w:r>
      <w:proofErr w:type="spellEnd"/>
      <w:r w:rsidRPr="00603223">
        <w:t xml:space="preserve"> (COPE).</w:t>
      </w:r>
    </w:p>
    <w:p w14:paraId="33251C0E" w14:textId="77777777" w:rsidR="00603223" w:rsidRPr="00603223" w:rsidRDefault="00603223" w:rsidP="00603223">
      <w:r w:rsidRPr="00603223">
        <w:t>Za niedopuszczalne uznaje się w szczególności:</w:t>
      </w:r>
    </w:p>
    <w:p w14:paraId="31B209CC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 xml:space="preserve">plagiat i </w:t>
      </w:r>
      <w:proofErr w:type="spellStart"/>
      <w:r w:rsidRPr="00603223">
        <w:t>autoplagiat</w:t>
      </w:r>
      <w:proofErr w:type="spellEnd"/>
      <w:r w:rsidRPr="00603223">
        <w:t>,</w:t>
      </w:r>
    </w:p>
    <w:p w14:paraId="162EA03E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>fabrykowanie lub fałszowanie danych,</w:t>
      </w:r>
    </w:p>
    <w:p w14:paraId="15C628CB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>równoczesne zgłaszanie tego samego tekstu do kilku czasopism,</w:t>
      </w:r>
    </w:p>
    <w:p w14:paraId="6E17A50C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>wielokrotne publikowanie zasadniczo tych samych wyników bez właściwego ujawnienia tego faktu,</w:t>
      </w:r>
    </w:p>
    <w:p w14:paraId="1C23AB22" w14:textId="77777777" w:rsidR="00603223" w:rsidRPr="00603223" w:rsidRDefault="00603223" w:rsidP="00603223">
      <w:pPr>
        <w:numPr>
          <w:ilvl w:val="0"/>
          <w:numId w:val="3"/>
        </w:numPr>
      </w:pPr>
      <w:proofErr w:type="spellStart"/>
      <w:r w:rsidRPr="00603223">
        <w:t>ghostwriting</w:t>
      </w:r>
      <w:proofErr w:type="spellEnd"/>
      <w:r w:rsidRPr="00603223">
        <w:t xml:space="preserve"> i </w:t>
      </w:r>
      <w:proofErr w:type="spellStart"/>
      <w:r w:rsidRPr="00603223">
        <w:t>guest</w:t>
      </w:r>
      <w:proofErr w:type="spellEnd"/>
      <w:r w:rsidRPr="00603223">
        <w:t xml:space="preserve"> </w:t>
      </w:r>
      <w:proofErr w:type="spellStart"/>
      <w:r w:rsidRPr="00603223">
        <w:t>authorship</w:t>
      </w:r>
      <w:proofErr w:type="spellEnd"/>
      <w:r w:rsidRPr="00603223">
        <w:t>,</w:t>
      </w:r>
    </w:p>
    <w:p w14:paraId="1F68EEE0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>nieuprawnione przypisywanie autorstwa,</w:t>
      </w:r>
    </w:p>
    <w:p w14:paraId="17A0D1B5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>zatajenie istotnego konfliktu interesów,</w:t>
      </w:r>
    </w:p>
    <w:p w14:paraId="0F99C76D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 xml:space="preserve">manipulowanie </w:t>
      </w:r>
      <w:proofErr w:type="spellStart"/>
      <w:r w:rsidRPr="00603223">
        <w:t>cytowaniami</w:t>
      </w:r>
      <w:proofErr w:type="spellEnd"/>
      <w:r w:rsidRPr="00603223">
        <w:t>,</w:t>
      </w:r>
    </w:p>
    <w:p w14:paraId="19845CB1" w14:textId="77777777" w:rsidR="00603223" w:rsidRPr="00603223" w:rsidRDefault="00603223" w:rsidP="00603223">
      <w:pPr>
        <w:numPr>
          <w:ilvl w:val="0"/>
          <w:numId w:val="3"/>
        </w:numPr>
      </w:pPr>
      <w:r w:rsidRPr="00603223">
        <w:t>ingerowanie w niezależność procesu recenzowania.</w:t>
      </w:r>
    </w:p>
    <w:p w14:paraId="05E4BFB5" w14:textId="77777777" w:rsidR="00603223" w:rsidRPr="00603223" w:rsidRDefault="00603223" w:rsidP="00603223">
      <w:r w:rsidRPr="00603223">
        <w:t xml:space="preserve">Autor ponosi odpowiedzialność za rzetelność przedstawionych treści, prawidłowość </w:t>
      </w:r>
      <w:proofErr w:type="spellStart"/>
      <w:r w:rsidRPr="00603223">
        <w:t>cytowań</w:t>
      </w:r>
      <w:proofErr w:type="spellEnd"/>
      <w:r w:rsidRPr="00603223">
        <w:t xml:space="preserve"> oraz zgodność publikacji z zasadami prawa autorskiego.</w:t>
      </w:r>
    </w:p>
    <w:p w14:paraId="339B2838" w14:textId="77777777" w:rsidR="00603223" w:rsidRPr="00603223" w:rsidRDefault="00603223" w:rsidP="00603223">
      <w:r w:rsidRPr="00603223">
        <w:t>W przypadku podejrzenia naruszenia rzetelności naukowej Redakcja podejmuje postępowanie wyjaśniające, umożliwiając zainteresowanym osobom przedstawienie stanowiska. W zależności od charakteru naruszenia Redakcja może odmówić publikacji tekstu, zażądać korekty, opublikować sprostowanie lub wyjaśnienie, a w przypadku poważnego naruszenia – wycofać opublikowany artykuł albo podjąć inne działania zgodne z dobrymi praktykami COPE.</w:t>
      </w:r>
    </w:p>
    <w:p w14:paraId="6262BF4A" w14:textId="77777777" w:rsidR="00603223" w:rsidRPr="00603223" w:rsidRDefault="00603223" w:rsidP="00603223">
      <w:pPr>
        <w:rPr>
          <w:b/>
          <w:bCs/>
        </w:rPr>
      </w:pPr>
      <w:r w:rsidRPr="00603223">
        <w:rPr>
          <w:b/>
          <w:bCs/>
        </w:rPr>
        <w:t>Procedura recenzowania</w:t>
      </w:r>
    </w:p>
    <w:p w14:paraId="015156A6" w14:textId="77777777" w:rsidR="00603223" w:rsidRPr="00603223" w:rsidRDefault="00603223" w:rsidP="00603223">
      <w:r w:rsidRPr="00603223">
        <w:t>Każdy artykuł naukowy zgłoszony do „</w:t>
      </w:r>
      <w:proofErr w:type="spellStart"/>
      <w:r w:rsidRPr="00603223">
        <w:t>Paidei</w:t>
      </w:r>
      <w:proofErr w:type="spellEnd"/>
      <w:r w:rsidRPr="00603223">
        <w:t>” podlega wstępnej ocenie Redakcji. Oceniane są w szczególności: zgodność tekstu z profilem czasopisma, jego poziom naukowy, kompletność formalna oraz zgodność z zasadami etyki publikacyjnej.</w:t>
      </w:r>
    </w:p>
    <w:p w14:paraId="2875CCD6" w14:textId="77777777" w:rsidR="00603223" w:rsidRPr="00603223" w:rsidRDefault="00603223" w:rsidP="00603223">
      <w:r w:rsidRPr="00603223">
        <w:t>Po pozytywnej ocenie wstępnej artykuł kierowany jest do co najmniej dwóch niezależnych recenzentów posiadających kompetencje odpowiadające problematyce publikacji.</w:t>
      </w:r>
    </w:p>
    <w:p w14:paraId="4A3FFFDD" w14:textId="77777777" w:rsidR="00603223" w:rsidRPr="00603223" w:rsidRDefault="00603223" w:rsidP="00603223">
      <w:r w:rsidRPr="00603223">
        <w:lastRenderedPageBreak/>
        <w:t xml:space="preserve">Czasopismo stosuje zasadę anonimowości autora i recenzenta w procesie oceny. Teksty przekazywane recenzentom są </w:t>
      </w:r>
      <w:proofErr w:type="spellStart"/>
      <w:r w:rsidRPr="00603223">
        <w:t>anonimizowane</w:t>
      </w:r>
      <w:proofErr w:type="spellEnd"/>
      <w:r w:rsidRPr="00603223">
        <w:t>.</w:t>
      </w:r>
    </w:p>
    <w:p w14:paraId="1447A9A0" w14:textId="77777777" w:rsidR="00603223" w:rsidRPr="00603223" w:rsidRDefault="00603223" w:rsidP="00603223">
      <w:r w:rsidRPr="00603223">
        <w:t>Recenzent zobowiązany jest do:</w:t>
      </w:r>
    </w:p>
    <w:p w14:paraId="1C432350" w14:textId="77777777" w:rsidR="00603223" w:rsidRPr="00603223" w:rsidRDefault="00603223" w:rsidP="00603223">
      <w:pPr>
        <w:numPr>
          <w:ilvl w:val="0"/>
          <w:numId w:val="4"/>
        </w:numPr>
      </w:pPr>
      <w:r w:rsidRPr="00603223">
        <w:t>bezstronnej i merytorycznej oceny tekstu,</w:t>
      </w:r>
    </w:p>
    <w:p w14:paraId="56AE72C7" w14:textId="77777777" w:rsidR="00603223" w:rsidRPr="00603223" w:rsidRDefault="00603223" w:rsidP="00603223">
      <w:pPr>
        <w:numPr>
          <w:ilvl w:val="0"/>
          <w:numId w:val="4"/>
        </w:numPr>
      </w:pPr>
      <w:r w:rsidRPr="00603223">
        <w:t>zachowania poufności,</w:t>
      </w:r>
    </w:p>
    <w:p w14:paraId="7D761767" w14:textId="77777777" w:rsidR="00603223" w:rsidRPr="00603223" w:rsidRDefault="00603223" w:rsidP="00603223">
      <w:pPr>
        <w:numPr>
          <w:ilvl w:val="0"/>
          <w:numId w:val="4"/>
        </w:numPr>
      </w:pPr>
      <w:r w:rsidRPr="00603223">
        <w:t>niewykorzystywania niepublikowanych treści dla własnych celów,</w:t>
      </w:r>
    </w:p>
    <w:p w14:paraId="366CC5D3" w14:textId="77777777" w:rsidR="00603223" w:rsidRPr="00603223" w:rsidRDefault="00603223" w:rsidP="00603223">
      <w:pPr>
        <w:numPr>
          <w:ilvl w:val="0"/>
          <w:numId w:val="4"/>
        </w:numPr>
      </w:pPr>
      <w:r w:rsidRPr="00603223">
        <w:t>ujawnienia potencjalnego konfliktu interesów,</w:t>
      </w:r>
    </w:p>
    <w:p w14:paraId="05EE0FCA" w14:textId="77777777" w:rsidR="00603223" w:rsidRPr="00603223" w:rsidRDefault="00603223" w:rsidP="00603223">
      <w:pPr>
        <w:numPr>
          <w:ilvl w:val="0"/>
          <w:numId w:val="4"/>
        </w:numPr>
      </w:pPr>
      <w:r w:rsidRPr="00603223">
        <w:t>odmowy sporządzenia recenzji w przypadku braku odpowiednich kompetencji lub wystąpienia okoliczności mogących naruszać niezależność oceny,</w:t>
      </w:r>
    </w:p>
    <w:p w14:paraId="18E06D96" w14:textId="77777777" w:rsidR="00603223" w:rsidRPr="00603223" w:rsidRDefault="00603223" w:rsidP="00603223">
      <w:pPr>
        <w:numPr>
          <w:ilvl w:val="0"/>
          <w:numId w:val="4"/>
        </w:numPr>
      </w:pPr>
      <w:r w:rsidRPr="00603223">
        <w:t>formułowania uwag w sposób rzeczowy i uzasadniony.</w:t>
      </w:r>
    </w:p>
    <w:p w14:paraId="74D8C59E" w14:textId="77777777" w:rsidR="00603223" w:rsidRPr="00603223" w:rsidRDefault="00603223" w:rsidP="00603223">
      <w:r w:rsidRPr="00603223">
        <w:t>Recenzja powinna kończyć się jednoznaczną rekomendacją dotyczącą publikacji tekstu, w szczególności: przyjęciem bez zmian, przyjęciem po wprowadzeniu poprawek, skierowaniem do ponownej oceny po istotnej korekcie albo odrzuceniem artykułu.</w:t>
      </w:r>
    </w:p>
    <w:p w14:paraId="3B222C18" w14:textId="77777777" w:rsidR="00603223" w:rsidRPr="00603223" w:rsidRDefault="00603223" w:rsidP="00603223">
      <w:r w:rsidRPr="00603223">
        <w:t>W przypadku zasadniczej rozbieżności pomiędzy recenzjami Redakcja może skierować tekst do dodatkowego recenzenta.</w:t>
      </w:r>
    </w:p>
    <w:p w14:paraId="29026B90" w14:textId="77777777" w:rsidR="00603223" w:rsidRPr="00603223" w:rsidRDefault="00603223" w:rsidP="00603223">
      <w:r w:rsidRPr="00603223">
        <w:t>Ostateczną decyzję o przyjęciu lub odrzuceniu artykułu podejmuje Redakcja, uwzględniając wartość naukową tekstu, opinie recenzentów oraz zgodność publikacji z profilem czasopisma.</w:t>
      </w:r>
    </w:p>
    <w:p w14:paraId="5CE53ACB" w14:textId="77777777" w:rsidR="00603223" w:rsidRPr="00603223" w:rsidRDefault="00603223" w:rsidP="00603223">
      <w:r w:rsidRPr="00603223">
        <w:t>Lista recenzentów współpracujących z czasopismem jest okresowo publikowana.</w:t>
      </w:r>
    </w:p>
    <w:p w14:paraId="610D6286" w14:textId="77777777" w:rsidR="00603223" w:rsidRPr="00603223" w:rsidRDefault="00603223" w:rsidP="00603223">
      <w:r w:rsidRPr="00603223">
        <w:t>Redaktorzy i recenzenci zobowiązani są do zachowania poufności materiałów przekazanych w toku postępowania wydawniczego. Członek Redakcji pozostający w konflikcie interesów z autorem nie uczestniczy w podejmowaniu decyzji dotyczącej jego publikacji.</w:t>
      </w:r>
    </w:p>
    <w:p w14:paraId="59899448" w14:textId="57085B36" w:rsidR="00603223" w:rsidRPr="00603223" w:rsidRDefault="00603223" w:rsidP="00603223"/>
    <w:p w14:paraId="6B9EB7D5" w14:textId="77777777" w:rsidR="00E021D1" w:rsidRPr="00603223" w:rsidRDefault="00E021D1" w:rsidP="00603223"/>
    <w:sectPr w:rsidR="00E021D1" w:rsidRPr="00603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9769C"/>
    <w:multiLevelType w:val="multilevel"/>
    <w:tmpl w:val="1B0A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A79B4"/>
    <w:multiLevelType w:val="multilevel"/>
    <w:tmpl w:val="7E28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020EE0"/>
    <w:multiLevelType w:val="multilevel"/>
    <w:tmpl w:val="8E56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4E6410"/>
    <w:multiLevelType w:val="multilevel"/>
    <w:tmpl w:val="F65C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398183">
    <w:abstractNumId w:val="1"/>
  </w:num>
  <w:num w:numId="2" w16cid:durableId="1777555102">
    <w:abstractNumId w:val="3"/>
  </w:num>
  <w:num w:numId="3" w16cid:durableId="382218542">
    <w:abstractNumId w:val="0"/>
  </w:num>
  <w:num w:numId="4" w16cid:durableId="786655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D1"/>
    <w:rsid w:val="00603223"/>
    <w:rsid w:val="00A373E8"/>
    <w:rsid w:val="00D474FC"/>
    <w:rsid w:val="00E021D1"/>
    <w:rsid w:val="00FE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FE48F"/>
  <w15:chartTrackingRefBased/>
  <w15:docId w15:val="{91E45A70-1DE8-4258-B2C3-0DF829DE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2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2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2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2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2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2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2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2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2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2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2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2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21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21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21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21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21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21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2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2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2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2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2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21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21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21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2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21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21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Stankiewicz</dc:creator>
  <cp:keywords/>
  <dc:description/>
  <cp:lastModifiedBy>Teresa Stankiewicz</cp:lastModifiedBy>
  <cp:revision>4</cp:revision>
  <dcterms:created xsi:type="dcterms:W3CDTF">2026-09-16T14:53:00Z</dcterms:created>
  <dcterms:modified xsi:type="dcterms:W3CDTF">2026-09-16T15:02:00Z</dcterms:modified>
</cp:coreProperties>
</file>