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2523BF"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Oto gotowe, profesjonalne szablony oświadczeń przygotowane w języku polskim i angielskim (DOAJ bardzo wysoko ocenia dwujęzyczność tych deklaracji).</w:t>
      </w:r>
    </w:p>
    <w:p w14:paraId="51D93804"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Możesz je skopiować i umieścić na stronie internetowej czasopisma „Paideia”, najlepiej w nowo utworzonej sekcji/podstronie o nazwie </w:t>
      </w:r>
      <w:r w:rsidRPr="00D473CC">
        <w:rPr>
          <w:rFonts w:ascii="Helvetica Neue" w:eastAsia="Times New Roman" w:hAnsi="Helvetica Neue" w:cs="Times New Roman"/>
          <w:b/>
          <w:bCs/>
          <w:color w:val="000000"/>
          <w:kern w:val="0"/>
          <w:lang w:eastAsia="pl-PL"/>
          <w14:ligatures w14:val="none"/>
        </w:rPr>
        <w:t>„Polityka wydawnicza i etyka”</w:t>
      </w:r>
      <w:r w:rsidRPr="00D473CC">
        <w:rPr>
          <w:rFonts w:ascii="Helvetica Neue" w:eastAsia="Times New Roman" w:hAnsi="Helvetica Neue" w:cs="Times New Roman"/>
          <w:color w:val="000000"/>
          <w:kern w:val="0"/>
          <w:lang w:eastAsia="pl-PL"/>
          <w14:ligatures w14:val="none"/>
        </w:rPr>
        <w:t> lub </w:t>
      </w:r>
      <w:r w:rsidRPr="00D473CC">
        <w:rPr>
          <w:rFonts w:ascii="Helvetica Neue" w:eastAsia="Times New Roman" w:hAnsi="Helvetica Neue" w:cs="Times New Roman"/>
          <w:b/>
          <w:bCs/>
          <w:color w:val="000000"/>
          <w:kern w:val="0"/>
          <w:lang w:eastAsia="pl-PL"/>
          <w14:ligatures w14:val="none"/>
        </w:rPr>
        <w:t>„O czasopiśmie”</w:t>
      </w:r>
      <w:r w:rsidRPr="00D473CC">
        <w:rPr>
          <w:rFonts w:ascii="Helvetica Neue" w:eastAsia="Times New Roman" w:hAnsi="Helvetica Neue" w:cs="Times New Roman"/>
          <w:color w:val="000000"/>
          <w:kern w:val="0"/>
          <w:lang w:eastAsia="pl-PL"/>
          <w14:ligatures w14:val="none"/>
        </w:rPr>
        <w:t>.</w:t>
      </w:r>
    </w:p>
    <w:p w14:paraId="1546E54C" w14:textId="77777777" w:rsidR="00D473CC" w:rsidRPr="00D473CC" w:rsidRDefault="00F41879" w:rsidP="00D473CC">
      <w:pPr>
        <w:spacing w:before="480" w:after="480"/>
        <w:rPr>
          <w:rFonts w:ascii="Helvetica Neue" w:eastAsia="Times New Roman" w:hAnsi="Helvetica Neue" w:cs="Times New Roman"/>
          <w:kern w:val="0"/>
          <w:sz w:val="21"/>
          <w:szCs w:val="21"/>
          <w:lang w:eastAsia="pl-PL"/>
          <w14:ligatures w14:val="none"/>
        </w:rPr>
      </w:pPr>
      <w:r>
        <w:rPr>
          <w:noProof/>
        </w:rPr>
      </w:r>
      <w:r>
        <w:pict w14:anchorId="71144569">
          <v:rect id="Horizontal Line 1" o:spid="_x0000_s1031" style="width:453.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" filled="f">
            <o:lock v:ext="edit" rotation="t" aspectratio="t" verticies="t" text="t" shapetype="t"/>
            <w10:anchorlock/>
          </v:rect>
        </w:pict>
      </w:r>
    </w:p>
    <w:p w14:paraId="5BD7410A" w14:textId="77777777" w:rsidR="00D473CC" w:rsidRPr="00D473CC" w:rsidRDefault="00D473CC" w:rsidP="00D473CC">
      <w:pPr>
        <w:rPr>
          <w:rFonts w:ascii="Helvetica Neue" w:eastAsia="Times New Roman" w:hAnsi="Helvetica Neue" w:cs="Times New Roman"/>
          <w:color w:val="000000"/>
          <w:kern w:val="0"/>
          <w:sz w:val="36"/>
          <w:szCs w:val="36"/>
          <w:lang w:eastAsia="pl-PL"/>
          <w14:ligatures w14:val="none"/>
        </w:rPr>
      </w:pPr>
      <w:r w:rsidRPr="00D473CC">
        <w:rPr>
          <w:rFonts w:ascii="Helvetica Neue" w:eastAsia="Times New Roman" w:hAnsi="Helvetica Neue" w:cs="Times New Roman"/>
          <w:color w:val="000000"/>
          <w:kern w:val="0"/>
          <w:sz w:val="36"/>
          <w:szCs w:val="36"/>
          <w:lang w:eastAsia="pl-PL"/>
          <w14:ligatures w14:val="none"/>
        </w:rPr>
        <w:t>1. Deklaracja Otwartego Dostępu (Open Access Statement)</w:t>
      </w:r>
    </w:p>
    <w:p w14:paraId="6BE711D1"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i/>
          <w:iCs/>
          <w:color w:val="000000"/>
          <w:kern w:val="0"/>
          <w:lang w:eastAsia="pl-PL"/>
          <w14:ligatures w14:val="none"/>
        </w:rPr>
        <w:t>DOAJ wymaga jasnego odniesienia do prawa użytkowników do czytania, pobierania i rozpowszechniania tekstów bez barier finansowych i technicznych.</w:t>
      </w:r>
    </w:p>
    <w:p w14:paraId="1AA3826D"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Wersja polska:</w:t>
      </w:r>
      <w:r w:rsidRPr="00D473CC">
        <w:rPr>
          <w:rFonts w:ascii="Helvetica Neue" w:eastAsia="Times New Roman" w:hAnsi="Helvetica Neue" w:cs="Times New Roman"/>
          <w:color w:val="000000"/>
          <w:kern w:val="0"/>
          <w:lang w:eastAsia="pl-PL"/>
          <w14:ligatures w14:val="none"/>
        </w:rPr>
        <w:br/>
      </w:r>
      <w:r w:rsidRPr="00D473CC">
        <w:rPr>
          <w:rFonts w:ascii="Helvetica Neue" w:eastAsia="Times New Roman" w:hAnsi="Helvetica Neue" w:cs="Times New Roman"/>
          <w:b/>
          <w:bCs/>
          <w:color w:val="000000"/>
          <w:kern w:val="0"/>
          <w:lang w:eastAsia="pl-PL"/>
          <w14:ligatures w14:val="none"/>
        </w:rPr>
        <w:t>Deklaracja Otwartego Dostępu (Open Access)</w:t>
      </w:r>
      <w:r w:rsidRPr="00D473CC">
        <w:rPr>
          <w:rFonts w:ascii="Helvetica Neue" w:eastAsia="Times New Roman" w:hAnsi="Helvetica Neue" w:cs="Times New Roman"/>
          <w:color w:val="000000"/>
          <w:kern w:val="0"/>
          <w:lang w:eastAsia="pl-PL"/>
          <w14:ligatures w14:val="none"/>
        </w:rPr>
        <w:br/>
        <w:t>Czasopismo „Paideia” jest periodykiem w pełni otwartym (Pure Open Access). Wszystkie artykuły są udostępniane w Internecie natychmiast po ich publikacji, bez żadnego okresu karencji (embarga) oraz bez barier technicznych. Użytkownicy mają prawo czytać, pobierać, kopiować, rozpowszechniać, drukować, przeszukiwać oraz linkować do pełnych tekstów artykułów, a także używać ich do innych celów zgodnych z prawem, bez konieczności pytania o zgodę wydawcy czy autora, pod warunkiem zachowania praw autorskich i prawidłowego zacytowania źródła. Deklaracja ta jest zgodna z definicją otwartego dostępu Budapest Open Access Initiative (BOAI).</w:t>
      </w:r>
    </w:p>
    <w:p w14:paraId="0DCF610C"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Wersja angielska:</w:t>
      </w:r>
      <w:r w:rsidRPr="00D473CC">
        <w:rPr>
          <w:rFonts w:ascii="Helvetica Neue" w:eastAsia="Times New Roman" w:hAnsi="Helvetica Neue" w:cs="Times New Roman"/>
          <w:color w:val="000000"/>
          <w:kern w:val="0"/>
          <w:lang w:eastAsia="pl-PL"/>
          <w14:ligatures w14:val="none"/>
        </w:rPr>
        <w:br/>
      </w:r>
      <w:r w:rsidRPr="00D473CC">
        <w:rPr>
          <w:rFonts w:ascii="Helvetica Neue" w:eastAsia="Times New Roman" w:hAnsi="Helvetica Neue" w:cs="Times New Roman"/>
          <w:b/>
          <w:bCs/>
          <w:color w:val="000000"/>
          <w:kern w:val="0"/>
          <w:lang w:eastAsia="pl-PL"/>
          <w14:ligatures w14:val="none"/>
        </w:rPr>
        <w:t>Open Access Statement</w:t>
      </w:r>
      <w:r w:rsidRPr="00D473CC">
        <w:rPr>
          <w:rFonts w:ascii="Helvetica Neue" w:eastAsia="Times New Roman" w:hAnsi="Helvetica Neue" w:cs="Times New Roman"/>
          <w:color w:val="000000"/>
          <w:kern w:val="0"/>
          <w:lang w:eastAsia="pl-PL"/>
          <w14:ligatures w14:val="none"/>
        </w:rPr>
        <w:br/>
        <w:t>"Paideia" is a fully open access journal. All articles are available on the Internet to all users immediately upon publication, without any embargo period or technical barriers. Users are allowed to read, download, copy, distribute, print, search, or link to the full texts of the articles, or use them for any other lawful purpose, without asking prior permission from the publisher or the author, provided the original work is properly cited. This is in accordance with the Budapest Open Access Initiative (BOAI) definition of Open Access.</w:t>
      </w:r>
    </w:p>
    <w:p w14:paraId="67CACDD7" w14:textId="77777777" w:rsidR="00D473CC" w:rsidRPr="00D473CC" w:rsidRDefault="00F41879" w:rsidP="00D473CC">
      <w:pPr>
        <w:spacing w:before="480" w:after="480"/>
        <w:rPr>
          <w:rFonts w:ascii="Helvetica Neue" w:eastAsia="Times New Roman" w:hAnsi="Helvetica Neue" w:cs="Times New Roman"/>
          <w:kern w:val="0"/>
          <w:sz w:val="21"/>
          <w:szCs w:val="21"/>
          <w:lang w:eastAsia="pl-PL"/>
          <w14:ligatures w14:val="none"/>
        </w:rPr>
      </w:pPr>
      <w:r>
        <w:rPr>
          <w:noProof/>
        </w:rPr>
      </w:r>
      <w:r>
        <w:pict w14:anchorId="64498C83">
          <v:rect id="Horizontal Line 2" o:spid="_x0000_s1030" style="width:453.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" filled="f">
            <o:lock v:ext="edit" rotation="t" aspectratio="t" verticies="t" text="t" shapetype="t"/>
            <w10:anchorlock/>
          </v:rect>
        </w:pict>
      </w:r>
    </w:p>
    <w:p w14:paraId="6A47B20E" w14:textId="77777777" w:rsidR="00D473CC" w:rsidRPr="00D473CC" w:rsidRDefault="00D473CC" w:rsidP="00D473CC">
      <w:pPr>
        <w:rPr>
          <w:rFonts w:ascii="Helvetica Neue" w:eastAsia="Times New Roman" w:hAnsi="Helvetica Neue" w:cs="Times New Roman"/>
          <w:color w:val="000000"/>
          <w:kern w:val="0"/>
          <w:sz w:val="36"/>
          <w:szCs w:val="36"/>
          <w:lang w:eastAsia="pl-PL"/>
          <w14:ligatures w14:val="none"/>
        </w:rPr>
      </w:pPr>
      <w:r w:rsidRPr="00D473CC">
        <w:rPr>
          <w:rFonts w:ascii="Helvetica Neue" w:eastAsia="Times New Roman" w:hAnsi="Helvetica Neue" w:cs="Times New Roman"/>
          <w:color w:val="000000"/>
          <w:kern w:val="0"/>
          <w:sz w:val="36"/>
          <w:szCs w:val="36"/>
          <w:lang w:eastAsia="pl-PL"/>
          <w14:ligatures w14:val="none"/>
        </w:rPr>
        <w:t>2. Polityka Licencyjna (Licensing Policy)</w:t>
      </w:r>
    </w:p>
    <w:p w14:paraId="5B86B414"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i/>
          <w:iCs/>
          <w:color w:val="000000"/>
          <w:kern w:val="0"/>
          <w:lang w:eastAsia="pl-PL"/>
          <w14:ligatures w14:val="none"/>
        </w:rPr>
        <w:t>Najbardziej rekomendowaną przez DOAJ licencją jest </w:t>
      </w:r>
      <w:r w:rsidRPr="00D473CC">
        <w:rPr>
          <w:rFonts w:ascii="Helvetica Neue" w:eastAsia="Times New Roman" w:hAnsi="Helvetica Neue" w:cs="Times New Roman"/>
          <w:b/>
          <w:bCs/>
          <w:i/>
          <w:iCs/>
          <w:color w:val="000000"/>
          <w:kern w:val="0"/>
          <w:lang w:eastAsia="pl-PL"/>
          <w14:ligatures w14:val="none"/>
        </w:rPr>
        <w:t>CC BY</w:t>
      </w:r>
      <w:r w:rsidRPr="00D473CC">
        <w:rPr>
          <w:rFonts w:ascii="Helvetica Neue" w:eastAsia="Times New Roman" w:hAnsi="Helvetica Neue" w:cs="Times New Roman"/>
          <w:i/>
          <w:iCs/>
          <w:color w:val="000000"/>
          <w:kern w:val="0"/>
          <w:lang w:eastAsia="pl-PL"/>
          <w14:ligatures w14:val="none"/>
        </w:rPr>
        <w:t> (uznanie autorstwa). Jeśli jednak wolicie Państwo bardziej restrykcyjną wersję chroniącą przed celami komercyjnymi i modyfikacjami, standardem jest </w:t>
      </w:r>
      <w:r w:rsidRPr="00D473CC">
        <w:rPr>
          <w:rFonts w:ascii="Helvetica Neue" w:eastAsia="Times New Roman" w:hAnsi="Helvetica Neue" w:cs="Times New Roman"/>
          <w:b/>
          <w:bCs/>
          <w:i/>
          <w:iCs/>
          <w:color w:val="000000"/>
          <w:kern w:val="0"/>
          <w:lang w:eastAsia="pl-PL"/>
          <w14:ligatures w14:val="none"/>
        </w:rPr>
        <w:t>CC BY-NC-ND 4.0</w:t>
      </w:r>
      <w:r w:rsidRPr="00D473CC">
        <w:rPr>
          <w:rFonts w:ascii="Helvetica Neue" w:eastAsia="Times New Roman" w:hAnsi="Helvetica Neue" w:cs="Times New Roman"/>
          <w:i/>
          <w:iCs/>
          <w:color w:val="000000"/>
          <w:kern w:val="0"/>
          <w:lang w:eastAsia="pl-PL"/>
          <w14:ligatures w14:val="none"/>
        </w:rPr>
        <w:t>. Poniższy szablon zakłada wybór CC BY-NC-ND – jeśli wybierzecie inną wersję, wystarczy zmienić oznaczenie.</w:t>
      </w:r>
    </w:p>
    <w:p w14:paraId="59B739CE"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Wersja polska:</w:t>
      </w:r>
      <w:r w:rsidRPr="00D473CC">
        <w:rPr>
          <w:rFonts w:ascii="Helvetica Neue" w:eastAsia="Times New Roman" w:hAnsi="Helvetica Neue" w:cs="Times New Roman"/>
          <w:color w:val="000000"/>
          <w:kern w:val="0"/>
          <w:lang w:eastAsia="pl-PL"/>
          <w14:ligatures w14:val="none"/>
        </w:rPr>
        <w:br/>
      </w:r>
      <w:r w:rsidRPr="00D473CC">
        <w:rPr>
          <w:rFonts w:ascii="Helvetica Neue" w:eastAsia="Times New Roman" w:hAnsi="Helvetica Neue" w:cs="Times New Roman"/>
          <w:b/>
          <w:bCs/>
          <w:color w:val="000000"/>
          <w:kern w:val="0"/>
          <w:lang w:eastAsia="pl-PL"/>
          <w14:ligatures w14:val="none"/>
        </w:rPr>
        <w:t>Polityka Licencyjna i Prawa Autorskie</w:t>
      </w:r>
      <w:r w:rsidRPr="00D473CC">
        <w:rPr>
          <w:rFonts w:ascii="Helvetica Neue" w:eastAsia="Times New Roman" w:hAnsi="Helvetica Neue" w:cs="Times New Roman"/>
          <w:color w:val="000000"/>
          <w:kern w:val="0"/>
          <w:lang w:eastAsia="pl-PL"/>
          <w14:ligatures w14:val="none"/>
        </w:rPr>
        <w:br/>
        <w:t xml:space="preserve">Autorzy publikujący w czasopiśmie „Paideia” zachowują autorskie prawa majątkowe </w:t>
      </w:r>
      <w:r w:rsidRPr="00D473CC">
        <w:rPr>
          <w:rFonts w:ascii="Helvetica Neue" w:eastAsia="Times New Roman" w:hAnsi="Helvetica Neue" w:cs="Times New Roman"/>
          <w:color w:val="000000"/>
          <w:kern w:val="0"/>
          <w:lang w:eastAsia="pl-PL"/>
          <w14:ligatures w14:val="none"/>
        </w:rPr>
        <w:lastRenderedPageBreak/>
        <w:t>i osobiste do swoich utworów. Wszystkie artykuły udostępniane są na warunkach międzynarodowej licencji </w:t>
      </w:r>
      <w:r w:rsidRPr="00D473CC">
        <w:rPr>
          <w:rFonts w:ascii="Helvetica Neue" w:eastAsia="Times New Roman" w:hAnsi="Helvetica Neue" w:cs="Times New Roman"/>
          <w:b/>
          <w:bCs/>
          <w:color w:val="000000"/>
          <w:kern w:val="0"/>
          <w:lang w:eastAsia="pl-PL"/>
          <w14:ligatures w14:val="none"/>
        </w:rPr>
        <w:t>Creative Commons Uznanie autorstwa – Użycie niekomercyjne – Bez utworów zależnych 4.0 (CC BY-NC-ND 4.0)</w:t>
      </w:r>
      <w:r w:rsidRPr="00D473CC">
        <w:rPr>
          <w:rFonts w:ascii="Helvetica Neue" w:eastAsia="Times New Roman" w:hAnsi="Helvetica Neue" w:cs="Times New Roman"/>
          <w:color w:val="000000"/>
          <w:kern w:val="0"/>
          <w:lang w:eastAsia="pl-PL"/>
          <w14:ligatures w14:val="none"/>
        </w:rPr>
        <w:t>. Licencja ta pozwala na pobieranie i dzielenie się utworami z innymi, pod warunkiem podania autorstwa, jednak bez możliwości ich komercyjnego wykorzystania oraz dokonywania w nich zmian.</w:t>
      </w:r>
    </w:p>
    <w:p w14:paraId="65318C2B"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Wersja angielska:</w:t>
      </w:r>
      <w:r w:rsidRPr="00D473CC">
        <w:rPr>
          <w:rFonts w:ascii="Helvetica Neue" w:eastAsia="Times New Roman" w:hAnsi="Helvetica Neue" w:cs="Times New Roman"/>
          <w:color w:val="000000"/>
          <w:kern w:val="0"/>
          <w:lang w:eastAsia="pl-PL"/>
          <w14:ligatures w14:val="none"/>
        </w:rPr>
        <w:br/>
      </w:r>
      <w:r w:rsidRPr="00D473CC">
        <w:rPr>
          <w:rFonts w:ascii="Helvetica Neue" w:eastAsia="Times New Roman" w:hAnsi="Helvetica Neue" w:cs="Times New Roman"/>
          <w:b/>
          <w:bCs/>
          <w:color w:val="000000"/>
          <w:kern w:val="0"/>
          <w:lang w:eastAsia="pl-PL"/>
          <w14:ligatures w14:val="none"/>
        </w:rPr>
        <w:t>Licensing Policy and Copyright</w:t>
      </w:r>
      <w:r w:rsidRPr="00D473CC">
        <w:rPr>
          <w:rFonts w:ascii="Helvetica Neue" w:eastAsia="Times New Roman" w:hAnsi="Helvetica Neue" w:cs="Times New Roman"/>
          <w:color w:val="000000"/>
          <w:kern w:val="0"/>
          <w:lang w:eastAsia="pl-PL"/>
          <w14:ligatures w14:val="none"/>
        </w:rPr>
        <w:br/>
        <w:t>Authors retaining copyright and publishing rights grant the journal right of first publication. All articles are distributed under the terms of the </w:t>
      </w:r>
      <w:r w:rsidRPr="00D473CC">
        <w:rPr>
          <w:rFonts w:ascii="Helvetica Neue" w:eastAsia="Times New Roman" w:hAnsi="Helvetica Neue" w:cs="Times New Roman"/>
          <w:b/>
          <w:bCs/>
          <w:color w:val="000000"/>
          <w:kern w:val="0"/>
          <w:lang w:eastAsia="pl-PL"/>
          <w14:ligatures w14:val="none"/>
        </w:rPr>
        <w:t>Creative Commons Attribution-NonCommercial-NoDerivatives 4.0 International License (CC BY-NC-ND 4.0)</w:t>
      </w:r>
      <w:r w:rsidRPr="00D473CC">
        <w:rPr>
          <w:rFonts w:ascii="Helvetica Neue" w:eastAsia="Times New Roman" w:hAnsi="Helvetica Neue" w:cs="Times New Roman"/>
          <w:color w:val="000000"/>
          <w:kern w:val="0"/>
          <w:lang w:eastAsia="pl-PL"/>
          <w14:ligatures w14:val="none"/>
        </w:rPr>
        <w:t>. This license permits users to download and share the original work as long as they credit the author, but the articles cannot be changed in any way or used commercially.</w:t>
      </w:r>
    </w:p>
    <w:p w14:paraId="38DB42E2" w14:textId="77777777" w:rsidR="00D473CC" w:rsidRPr="00D473CC" w:rsidRDefault="00F41879" w:rsidP="00D473CC">
      <w:pPr>
        <w:spacing w:before="480" w:after="480"/>
        <w:rPr>
          <w:rFonts w:ascii="Helvetica Neue" w:eastAsia="Times New Roman" w:hAnsi="Helvetica Neue" w:cs="Times New Roman"/>
          <w:kern w:val="0"/>
          <w:sz w:val="21"/>
          <w:szCs w:val="21"/>
          <w:lang w:eastAsia="pl-PL"/>
          <w14:ligatures w14:val="none"/>
        </w:rPr>
      </w:pPr>
      <w:r>
        <w:rPr>
          <w:noProof/>
        </w:rPr>
      </w:r>
      <w:r>
        <w:pict w14:anchorId="290C5A1B">
          <v:rect id="Horizontal Line 3" o:spid="_x0000_s1029" style="width:453.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b+nVbcAAAACAEAAA8AAAAAAAAAAAAAAAAAswQAAGRycy9kb3ducmV2Lnht&#13;&#10;bFBLBQYAAAAABAAEAPMAAAC8BQAAAAA=&#13;&#10;" filled="f">
            <o:lock v:ext="edit" rotation="t" aspectratio="t" verticies="t" text="t" shapetype="t"/>
            <w10:anchorlock/>
          </v:rect>
        </w:pict>
      </w:r>
    </w:p>
    <w:p w14:paraId="4EA1BC35" w14:textId="77777777" w:rsidR="00D473CC" w:rsidRPr="00D473CC" w:rsidRDefault="00D473CC" w:rsidP="00D473CC">
      <w:pPr>
        <w:rPr>
          <w:rFonts w:ascii="Helvetica Neue" w:eastAsia="Times New Roman" w:hAnsi="Helvetica Neue" w:cs="Times New Roman"/>
          <w:color w:val="000000"/>
          <w:kern w:val="0"/>
          <w:sz w:val="36"/>
          <w:szCs w:val="36"/>
          <w:lang w:eastAsia="pl-PL"/>
          <w14:ligatures w14:val="none"/>
        </w:rPr>
      </w:pPr>
      <w:r w:rsidRPr="00D473CC">
        <w:rPr>
          <w:rFonts w:ascii="Helvetica Neue" w:eastAsia="Times New Roman" w:hAnsi="Helvetica Neue" w:cs="Times New Roman"/>
          <w:color w:val="000000"/>
          <w:kern w:val="0"/>
          <w:sz w:val="36"/>
          <w:szCs w:val="36"/>
          <w:lang w:eastAsia="pl-PL"/>
          <w14:ligatures w14:val="none"/>
        </w:rPr>
        <w:t>3. Polityka dotycząca Opłat (Article Processing Charges – APC Statement)</w:t>
      </w:r>
    </w:p>
    <w:p w14:paraId="2DBE0A82"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i/>
          <w:iCs/>
          <w:color w:val="000000"/>
          <w:kern w:val="0"/>
          <w:lang w:eastAsia="pl-PL"/>
          <w14:ligatures w14:val="none"/>
        </w:rPr>
        <w:t>Brak opłat to ogromna zaleta czasopisma, ale DOAJ bezwzględnie wymaga, aby ta informacja była podana wprost (by autorzy mieli pewność, że nie spotkają ich ukryte koszty).</w:t>
      </w:r>
    </w:p>
    <w:p w14:paraId="6EA5DB1D"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Wersja polska:</w:t>
      </w:r>
      <w:r w:rsidRPr="00D473CC">
        <w:rPr>
          <w:rFonts w:ascii="Helvetica Neue" w:eastAsia="Times New Roman" w:hAnsi="Helvetica Neue" w:cs="Times New Roman"/>
          <w:color w:val="000000"/>
          <w:kern w:val="0"/>
          <w:lang w:eastAsia="pl-PL"/>
          <w14:ligatures w14:val="none"/>
        </w:rPr>
        <w:br/>
      </w:r>
      <w:r w:rsidRPr="00D473CC">
        <w:rPr>
          <w:rFonts w:ascii="Helvetica Neue" w:eastAsia="Times New Roman" w:hAnsi="Helvetica Neue" w:cs="Times New Roman"/>
          <w:b/>
          <w:bCs/>
          <w:color w:val="000000"/>
          <w:kern w:val="0"/>
          <w:lang w:eastAsia="pl-PL"/>
          <w14:ligatures w14:val="none"/>
        </w:rPr>
        <w:t>Opłaty za publikację (No APC)</w:t>
      </w:r>
      <w:r w:rsidRPr="00D473CC">
        <w:rPr>
          <w:rFonts w:ascii="Helvetica Neue" w:eastAsia="Times New Roman" w:hAnsi="Helvetica Neue" w:cs="Times New Roman"/>
          <w:color w:val="000000"/>
          <w:kern w:val="0"/>
          <w:lang w:eastAsia="pl-PL"/>
          <w14:ligatures w14:val="none"/>
        </w:rPr>
        <w:br/>
        <w:t>Czasopismo „Paideia” nie pobiera od autorów żadnych opłat za zgłoszenie artykułu (Article Submission Charges), procedurę recenzencką, opracowanie redakcyjne, ani za publikację tekstów w otwartym dostępie (Article Processing Charges – APC). Publikacja w czasopiśmie jest całkowicie bezpłatna.</w:t>
      </w:r>
    </w:p>
    <w:p w14:paraId="6BD3E915"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Wersja angielska:</w:t>
      </w:r>
      <w:r w:rsidRPr="00D473CC">
        <w:rPr>
          <w:rFonts w:ascii="Helvetica Neue" w:eastAsia="Times New Roman" w:hAnsi="Helvetica Neue" w:cs="Times New Roman"/>
          <w:color w:val="000000"/>
          <w:kern w:val="0"/>
          <w:lang w:eastAsia="pl-PL"/>
          <w14:ligatures w14:val="none"/>
        </w:rPr>
        <w:br/>
      </w:r>
      <w:r w:rsidRPr="00D473CC">
        <w:rPr>
          <w:rFonts w:ascii="Helvetica Neue" w:eastAsia="Times New Roman" w:hAnsi="Helvetica Neue" w:cs="Times New Roman"/>
          <w:b/>
          <w:bCs/>
          <w:color w:val="000000"/>
          <w:kern w:val="0"/>
          <w:lang w:eastAsia="pl-PL"/>
          <w14:ligatures w14:val="none"/>
        </w:rPr>
        <w:t>Publication Fees (No APC)</w:t>
      </w:r>
      <w:r w:rsidRPr="00D473CC">
        <w:rPr>
          <w:rFonts w:ascii="Helvetica Neue" w:eastAsia="Times New Roman" w:hAnsi="Helvetica Neue" w:cs="Times New Roman"/>
          <w:color w:val="000000"/>
          <w:kern w:val="0"/>
          <w:lang w:eastAsia="pl-PL"/>
          <w14:ligatures w14:val="none"/>
        </w:rPr>
        <w:br/>
        <w:t>"Paideia" does not charge authors any article submission fees, peer-review management fees, editorial processing fees, or article processing charges (APC) for publishing open access. Publishing in the journal is completely free of charge for authors.</w:t>
      </w:r>
    </w:p>
    <w:p w14:paraId="3BA1CD14" w14:textId="77777777" w:rsidR="00D473CC" w:rsidRPr="00D473CC" w:rsidRDefault="00F41879" w:rsidP="00D473CC">
      <w:pPr>
        <w:spacing w:before="480" w:after="480"/>
        <w:rPr>
          <w:rFonts w:ascii="Helvetica Neue" w:eastAsia="Times New Roman" w:hAnsi="Helvetica Neue" w:cs="Times New Roman"/>
          <w:kern w:val="0"/>
          <w:sz w:val="21"/>
          <w:szCs w:val="21"/>
          <w:lang w:eastAsia="pl-PL"/>
          <w14:ligatures w14:val="none"/>
        </w:rPr>
      </w:pPr>
      <w:r>
        <w:rPr>
          <w:noProof/>
        </w:rPr>
      </w:r>
      <w:r>
        <w:pict w14:anchorId="46F29A12">
          <v:rect id="Horizontal Line 4" o:spid="_x0000_s1028" style="width:453.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b+nVbcAAAACAEAAA8AAAAAAAAAAAAAAAAAswQAAGRycy9kb3ducmV2Lnht&#13;&#10;bFBLBQYAAAAABAAEAPMAAAC8BQAAAAA=&#13;&#10;" filled="f">
            <o:lock v:ext="edit" rotation="t" aspectratio="t" verticies="t" text="t" shapetype="t"/>
            <w10:anchorlock/>
          </v:rect>
        </w:pict>
      </w:r>
    </w:p>
    <w:p w14:paraId="49455B3F" w14:textId="77777777" w:rsidR="00D473CC" w:rsidRPr="00D473CC" w:rsidRDefault="00D473CC" w:rsidP="00D473CC">
      <w:pPr>
        <w:rPr>
          <w:rFonts w:ascii="Helvetica Neue" w:eastAsia="Times New Roman" w:hAnsi="Helvetica Neue" w:cs="Times New Roman"/>
          <w:color w:val="000000"/>
          <w:kern w:val="0"/>
          <w:sz w:val="36"/>
          <w:szCs w:val="36"/>
          <w:lang w:eastAsia="pl-PL"/>
          <w14:ligatures w14:val="none"/>
        </w:rPr>
      </w:pPr>
      <w:r w:rsidRPr="00D473CC">
        <w:rPr>
          <w:rFonts w:ascii="Helvetica Neue" w:eastAsia="Times New Roman" w:hAnsi="Helvetica Neue" w:cs="Times New Roman"/>
          <w:color w:val="000000"/>
          <w:kern w:val="0"/>
          <w:sz w:val="36"/>
          <w:szCs w:val="36"/>
          <w:lang w:eastAsia="pl-PL"/>
          <w14:ligatures w14:val="none"/>
        </w:rPr>
        <w:t>4. Polityka Etyczna (Publishing Ethics)</w:t>
      </w:r>
    </w:p>
    <w:p w14:paraId="04CA57B5"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i/>
          <w:iCs/>
          <w:color w:val="000000"/>
          <w:kern w:val="0"/>
          <w:lang w:eastAsia="pl-PL"/>
          <w14:ligatures w14:val="none"/>
        </w:rPr>
        <w:t>DOAJ wymaga deklaracji opartej na standardach COPE (Committee on Publication Ethics).</w:t>
      </w:r>
    </w:p>
    <w:p w14:paraId="619369BB"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Wersja polska:</w:t>
      </w:r>
      <w:r w:rsidRPr="00D473CC">
        <w:rPr>
          <w:rFonts w:ascii="Helvetica Neue" w:eastAsia="Times New Roman" w:hAnsi="Helvetica Neue" w:cs="Times New Roman"/>
          <w:color w:val="000000"/>
          <w:kern w:val="0"/>
          <w:lang w:eastAsia="pl-PL"/>
          <w14:ligatures w14:val="none"/>
        </w:rPr>
        <w:br/>
      </w:r>
      <w:r w:rsidRPr="00D473CC">
        <w:rPr>
          <w:rFonts w:ascii="Helvetica Neue" w:eastAsia="Times New Roman" w:hAnsi="Helvetica Neue" w:cs="Times New Roman"/>
          <w:b/>
          <w:bCs/>
          <w:color w:val="000000"/>
          <w:kern w:val="0"/>
          <w:lang w:eastAsia="pl-PL"/>
          <w14:ligatures w14:val="none"/>
        </w:rPr>
        <w:t>Zasady Etyki Wydawniczej</w:t>
      </w:r>
      <w:r w:rsidRPr="00D473CC">
        <w:rPr>
          <w:rFonts w:ascii="Helvetica Neue" w:eastAsia="Times New Roman" w:hAnsi="Helvetica Neue" w:cs="Times New Roman"/>
          <w:color w:val="000000"/>
          <w:kern w:val="0"/>
          <w:lang w:eastAsia="pl-PL"/>
          <w14:ligatures w14:val="none"/>
        </w:rPr>
        <w:br/>
        <w:t xml:space="preserve">Redakcja czasopisma „Paideia” dba o zachowanie najwyższych standardów etycznych w praktyce wydawniczej i stosuje zasady określone przez Komitet ds. </w:t>
      </w:r>
      <w:r w:rsidRPr="00D473CC">
        <w:rPr>
          <w:rFonts w:ascii="Helvetica Neue" w:eastAsia="Times New Roman" w:hAnsi="Helvetica Neue" w:cs="Times New Roman"/>
          <w:color w:val="000000"/>
          <w:kern w:val="0"/>
          <w:lang w:eastAsia="pl-PL"/>
          <w14:ligatures w14:val="none"/>
        </w:rPr>
        <w:lastRenderedPageBreak/>
        <w:t>Etyki Publikacyjnej (COPE – Committee on Publication Ethics). Wszelkie przejawy nierzetelności naukowej, w tym plagiat, autoplagiat, fabrykowanie danych oraz zjawiska takie jak </w:t>
      </w:r>
      <w:r w:rsidRPr="00D473CC">
        <w:rPr>
          <w:rFonts w:ascii="Helvetica Neue" w:eastAsia="Times New Roman" w:hAnsi="Helvetica Neue" w:cs="Times New Roman"/>
          <w:i/>
          <w:iCs/>
          <w:color w:val="000000"/>
          <w:kern w:val="0"/>
          <w:lang w:eastAsia="pl-PL"/>
          <w14:ligatures w14:val="none"/>
        </w:rPr>
        <w:t>ghostwriting</w:t>
      </w:r>
      <w:r w:rsidRPr="00D473CC">
        <w:rPr>
          <w:rFonts w:ascii="Helvetica Neue" w:eastAsia="Times New Roman" w:hAnsi="Helvetica Neue" w:cs="Times New Roman"/>
          <w:color w:val="000000"/>
          <w:kern w:val="0"/>
          <w:lang w:eastAsia="pl-PL"/>
          <w14:ligatures w14:val="none"/>
        </w:rPr>
        <w:t> (nieujawnienie udziału współautora) i </w:t>
      </w:r>
      <w:r w:rsidRPr="00D473CC">
        <w:rPr>
          <w:rFonts w:ascii="Helvetica Neue" w:eastAsia="Times New Roman" w:hAnsi="Helvetica Neue" w:cs="Times New Roman"/>
          <w:i/>
          <w:iCs/>
          <w:color w:val="000000"/>
          <w:kern w:val="0"/>
          <w:lang w:eastAsia="pl-PL"/>
          <w14:ligatures w14:val="none"/>
        </w:rPr>
        <w:t>guest authorship</w:t>
      </w:r>
      <w:r w:rsidRPr="00D473CC">
        <w:rPr>
          <w:rFonts w:ascii="Helvetica Neue" w:eastAsia="Times New Roman" w:hAnsi="Helvetica Neue" w:cs="Times New Roman"/>
          <w:color w:val="000000"/>
          <w:kern w:val="0"/>
          <w:lang w:eastAsia="pl-PL"/>
          <w14:ligatures w14:val="none"/>
        </w:rPr>
        <w:t> (dopisanie autora, który nie wniósł wkładu), będą dokumentowane i demaskowane, włącznie z powiadomieniem instytucji zatrudniających autorów.</w:t>
      </w:r>
    </w:p>
    <w:p w14:paraId="6F4C26DD"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Wersja angielska:</w:t>
      </w:r>
      <w:r w:rsidRPr="00D473CC">
        <w:rPr>
          <w:rFonts w:ascii="Helvetica Neue" w:eastAsia="Times New Roman" w:hAnsi="Helvetica Neue" w:cs="Times New Roman"/>
          <w:color w:val="000000"/>
          <w:kern w:val="0"/>
          <w:lang w:eastAsia="pl-PL"/>
          <w14:ligatures w14:val="none"/>
        </w:rPr>
        <w:br/>
      </w:r>
      <w:r w:rsidRPr="00D473CC">
        <w:rPr>
          <w:rFonts w:ascii="Helvetica Neue" w:eastAsia="Times New Roman" w:hAnsi="Helvetica Neue" w:cs="Times New Roman"/>
          <w:b/>
          <w:bCs/>
          <w:color w:val="000000"/>
          <w:kern w:val="0"/>
          <w:lang w:eastAsia="pl-PL"/>
          <w14:ligatures w14:val="none"/>
        </w:rPr>
        <w:t>Publication Ethics Statement</w:t>
      </w:r>
      <w:r w:rsidRPr="00D473CC">
        <w:rPr>
          <w:rFonts w:ascii="Helvetica Neue" w:eastAsia="Times New Roman" w:hAnsi="Helvetica Neue" w:cs="Times New Roman"/>
          <w:color w:val="000000"/>
          <w:kern w:val="0"/>
          <w:lang w:eastAsia="pl-PL"/>
          <w14:ligatures w14:val="none"/>
        </w:rPr>
        <w:br/>
        <w:t>The Editorial Board of "Paideia" ensures the highest ethical standards in publishing practice and follows the guidelines established by the Committee on Publication Ethics (COPE). Any forms of academic misconduct, including plagiarism, self-plagiarism, data fabrication, as well as ghostwriting and guest authorship, will be strictly documented and exposed, including notifying the authors' home institutions.</w:t>
      </w:r>
    </w:p>
    <w:p w14:paraId="70E252C1" w14:textId="77777777" w:rsidR="00902F56" w:rsidRDefault="00902F56" w:rsidP="00D473CC">
      <w:pPr>
        <w:rPr>
          <w:rFonts w:ascii="Helvetica Neue" w:eastAsia="Times New Roman" w:hAnsi="Helvetica Neue" w:cs="Times New Roman"/>
          <w:color w:val="000000"/>
          <w:kern w:val="0"/>
          <w:lang w:eastAsia="pl-PL"/>
          <w14:ligatures w14:val="none"/>
        </w:rPr>
      </w:pPr>
    </w:p>
    <w:p w14:paraId="577BD6C2" w14:textId="394D988E"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Aby te oświadczenia były w 100% skuteczne dla DOAJ:</w:t>
      </w:r>
    </w:p>
    <w:p w14:paraId="44EAAEA9" w14:textId="77777777" w:rsidR="00D473CC" w:rsidRPr="00D473CC" w:rsidRDefault="00D473CC" w:rsidP="00D473CC">
      <w:pPr>
        <w:numPr>
          <w:ilvl w:val="0"/>
          <w:numId w:val="1"/>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Czy zdecydowali się Państwo na licencję </w:t>
      </w:r>
      <w:r w:rsidRPr="00D473CC">
        <w:rPr>
          <w:rFonts w:ascii="Helvetica Neue" w:eastAsia="Times New Roman" w:hAnsi="Helvetica Neue" w:cs="Times New Roman"/>
          <w:b/>
          <w:bCs/>
          <w:color w:val="000000"/>
          <w:kern w:val="0"/>
          <w:lang w:eastAsia="pl-PL"/>
          <w14:ligatures w14:val="none"/>
        </w:rPr>
        <w:t>CC BY-NC-ND 4.0</w:t>
      </w:r>
      <w:r w:rsidRPr="00D473CC">
        <w:rPr>
          <w:rFonts w:ascii="Helvetica Neue" w:eastAsia="Times New Roman" w:hAnsi="Helvetica Neue" w:cs="Times New Roman"/>
          <w:color w:val="000000"/>
          <w:kern w:val="0"/>
          <w:lang w:eastAsia="pl-PL"/>
          <w14:ligatures w14:val="none"/>
        </w:rPr>
        <w:t>, czy wolicie luźniejszą </w:t>
      </w:r>
      <w:r w:rsidRPr="00D473CC">
        <w:rPr>
          <w:rFonts w:ascii="Helvetica Neue" w:eastAsia="Times New Roman" w:hAnsi="Helvetica Neue" w:cs="Times New Roman"/>
          <w:b/>
          <w:bCs/>
          <w:color w:val="000000"/>
          <w:kern w:val="0"/>
          <w:lang w:eastAsia="pl-PL"/>
          <w14:ligatures w14:val="none"/>
        </w:rPr>
        <w:t>CC BY 4.0</w:t>
      </w:r>
      <w:r w:rsidRPr="00D473CC">
        <w:rPr>
          <w:rFonts w:ascii="Helvetica Neue" w:eastAsia="Times New Roman" w:hAnsi="Helvetica Neue" w:cs="Times New Roman"/>
          <w:color w:val="000000"/>
          <w:kern w:val="0"/>
          <w:lang w:eastAsia="pl-PL"/>
          <w14:ligatures w14:val="none"/>
        </w:rPr>
        <w:t> (w pełni otwartą)?</w:t>
      </w:r>
    </w:p>
    <w:p w14:paraId="7A3B6F98" w14:textId="77777777" w:rsidR="00D473CC" w:rsidRPr="00D473CC" w:rsidRDefault="00D473CC" w:rsidP="00D473CC">
      <w:pPr>
        <w:numPr>
          <w:ilvl w:val="0"/>
          <w:numId w:val="1"/>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Czy potrzebują Państwo również wzorcowego opisu </w:t>
      </w:r>
      <w:r w:rsidRPr="00D473CC">
        <w:rPr>
          <w:rFonts w:ascii="Helvetica Neue" w:eastAsia="Times New Roman" w:hAnsi="Helvetica Neue" w:cs="Times New Roman"/>
          <w:b/>
          <w:bCs/>
          <w:color w:val="000000"/>
          <w:kern w:val="0"/>
          <w:lang w:eastAsia="pl-PL"/>
          <w14:ligatures w14:val="none"/>
        </w:rPr>
        <w:t>procedury recenzowania (Peer Review)</w:t>
      </w:r>
      <w:r w:rsidRPr="00D473CC">
        <w:rPr>
          <w:rFonts w:ascii="Helvetica Neue" w:eastAsia="Times New Roman" w:hAnsi="Helvetica Neue" w:cs="Times New Roman"/>
          <w:color w:val="000000"/>
          <w:kern w:val="0"/>
          <w:lang w:eastAsia="pl-PL"/>
          <w14:ligatures w14:val="none"/>
        </w:rPr>
        <w:t> do umieszczenia na stronie?</w:t>
      </w:r>
    </w:p>
    <w:p w14:paraId="62316B10" w14:textId="77777777" w:rsidR="00257954" w:rsidRDefault="00257954"/>
    <w:p w14:paraId="5495F76B"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Oto profesjonalny, wzorcowy opis procedury recenzowania, w pełni zgodny z wytycznymi </w:t>
      </w:r>
      <w:r w:rsidRPr="00D473CC">
        <w:rPr>
          <w:rFonts w:ascii="Helvetica Neue" w:eastAsia="Times New Roman" w:hAnsi="Helvetica Neue" w:cs="Times New Roman"/>
          <w:b/>
          <w:bCs/>
          <w:color w:val="000000"/>
          <w:kern w:val="0"/>
          <w:lang w:eastAsia="pl-PL"/>
          <w14:ligatures w14:val="none"/>
        </w:rPr>
        <w:t>DOAJ</w:t>
      </w:r>
      <w:r w:rsidRPr="00D473CC">
        <w:rPr>
          <w:rFonts w:ascii="Helvetica Neue" w:eastAsia="Times New Roman" w:hAnsi="Helvetica Neue" w:cs="Times New Roman"/>
          <w:color w:val="000000"/>
          <w:kern w:val="0"/>
          <w:lang w:eastAsia="pl-PL"/>
          <w14:ligatures w14:val="none"/>
        </w:rPr>
        <w:t> oraz </w:t>
      </w:r>
      <w:r w:rsidRPr="00D473CC">
        <w:rPr>
          <w:rFonts w:ascii="Helvetica Neue" w:eastAsia="Times New Roman" w:hAnsi="Helvetica Neue" w:cs="Times New Roman"/>
          <w:b/>
          <w:bCs/>
          <w:color w:val="000000"/>
          <w:kern w:val="0"/>
          <w:lang w:eastAsia="pl-PL"/>
          <w14:ligatures w14:val="none"/>
        </w:rPr>
        <w:t>Ministerstwa Nauki i Szkolnictwa Wyższego</w:t>
      </w:r>
      <w:r w:rsidRPr="00D473CC">
        <w:rPr>
          <w:rFonts w:ascii="Helvetica Neue" w:eastAsia="Times New Roman" w:hAnsi="Helvetica Neue" w:cs="Times New Roman"/>
          <w:color w:val="000000"/>
          <w:kern w:val="0"/>
          <w:lang w:eastAsia="pl-PL"/>
          <w14:ligatures w14:val="none"/>
        </w:rPr>
        <w:t>.</w:t>
      </w:r>
    </w:p>
    <w:p w14:paraId="1841940C"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Tekst został przygotowany w formule </w:t>
      </w:r>
      <w:r w:rsidRPr="00D473CC">
        <w:rPr>
          <w:rFonts w:ascii="Helvetica Neue" w:eastAsia="Times New Roman" w:hAnsi="Helvetica Neue" w:cs="Times New Roman"/>
          <w:b/>
          <w:bCs/>
          <w:color w:val="000000"/>
          <w:kern w:val="0"/>
          <w:lang w:eastAsia="pl-PL"/>
          <w14:ligatures w14:val="none"/>
        </w:rPr>
        <w:t>double-blind peer review</w:t>
      </w:r>
      <w:r w:rsidRPr="00D473CC">
        <w:rPr>
          <w:rFonts w:ascii="Helvetica Neue" w:eastAsia="Times New Roman" w:hAnsi="Helvetica Neue" w:cs="Times New Roman"/>
          <w:color w:val="000000"/>
          <w:kern w:val="0"/>
          <w:lang w:eastAsia="pl-PL"/>
          <w14:ligatures w14:val="none"/>
        </w:rPr>
        <w:t> (anonimowy autor i anonimowi recenzenci), która jest standardem w naukach humanistycznych i społecznych oraz najwyżej ocenianą przez instytucje indeksujące.</w:t>
      </w:r>
    </w:p>
    <w:p w14:paraId="26D95179"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Możesz umieścić ten tekst na stronie internetowej w sekcji </w:t>
      </w:r>
      <w:r w:rsidRPr="00D473CC">
        <w:rPr>
          <w:rFonts w:ascii="Helvetica Neue" w:eastAsia="Times New Roman" w:hAnsi="Helvetica Neue" w:cs="Times New Roman"/>
          <w:b/>
          <w:bCs/>
          <w:color w:val="000000"/>
          <w:kern w:val="0"/>
          <w:lang w:eastAsia="pl-PL"/>
          <w14:ligatures w14:val="none"/>
        </w:rPr>
        <w:t>„Procedura recenzowania”</w:t>
      </w:r>
      <w:r w:rsidRPr="00D473CC">
        <w:rPr>
          <w:rFonts w:ascii="Helvetica Neue" w:eastAsia="Times New Roman" w:hAnsi="Helvetica Neue" w:cs="Times New Roman"/>
          <w:color w:val="000000"/>
          <w:kern w:val="0"/>
          <w:lang w:eastAsia="pl-PL"/>
          <w14:ligatures w14:val="none"/>
        </w:rPr>
        <w:t> lub </w:t>
      </w:r>
      <w:r w:rsidRPr="00D473CC">
        <w:rPr>
          <w:rFonts w:ascii="Helvetica Neue" w:eastAsia="Times New Roman" w:hAnsi="Helvetica Neue" w:cs="Times New Roman"/>
          <w:b/>
          <w:bCs/>
          <w:color w:val="000000"/>
          <w:kern w:val="0"/>
          <w:lang w:eastAsia="pl-PL"/>
          <w14:ligatures w14:val="none"/>
        </w:rPr>
        <w:t>„Dla autorów”</w:t>
      </w:r>
      <w:r w:rsidRPr="00D473CC">
        <w:rPr>
          <w:rFonts w:ascii="Helvetica Neue" w:eastAsia="Times New Roman" w:hAnsi="Helvetica Neue" w:cs="Times New Roman"/>
          <w:color w:val="000000"/>
          <w:kern w:val="0"/>
          <w:lang w:eastAsia="pl-PL"/>
          <w14:ligatures w14:val="none"/>
        </w:rPr>
        <w:t>.</w:t>
      </w:r>
    </w:p>
    <w:p w14:paraId="7A1762E0" w14:textId="77777777" w:rsidR="00D473CC" w:rsidRPr="00D473CC" w:rsidRDefault="00F41879" w:rsidP="00D473CC">
      <w:pPr>
        <w:spacing w:before="480" w:after="480"/>
        <w:rPr>
          <w:rFonts w:ascii="Helvetica Neue" w:eastAsia="Times New Roman" w:hAnsi="Helvetica Neue" w:cs="Times New Roman"/>
          <w:kern w:val="0"/>
          <w:sz w:val="21"/>
          <w:szCs w:val="21"/>
          <w:lang w:eastAsia="pl-PL"/>
          <w14:ligatures w14:val="none"/>
        </w:rPr>
      </w:pPr>
      <w:r>
        <w:rPr>
          <w:noProof/>
        </w:rPr>
      </w:r>
      <w:r>
        <w:pict w14:anchorId="06F1DE71">
          <v:rect id="Horizontal Line 5" o:spid="_x0000_s1027" style="width:453.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" filled="f">
            <o:lock v:ext="edit" rotation="t" aspectratio="t" verticies="t" text="t" shapetype="t"/>
            <w10:anchorlock/>
          </v:rect>
        </w:pict>
      </w:r>
    </w:p>
    <w:p w14:paraId="6E3915FF" w14:textId="77777777" w:rsidR="00D473CC" w:rsidRPr="00D473CC" w:rsidRDefault="00D473CC" w:rsidP="00D473CC">
      <w:pPr>
        <w:rPr>
          <w:rFonts w:ascii="Helvetica Neue" w:eastAsia="Times New Roman" w:hAnsi="Helvetica Neue" w:cs="Times New Roman"/>
          <w:color w:val="000000"/>
          <w:kern w:val="0"/>
          <w:sz w:val="36"/>
          <w:szCs w:val="36"/>
          <w:lang w:eastAsia="pl-PL"/>
          <w14:ligatures w14:val="none"/>
        </w:rPr>
      </w:pPr>
      <w:r w:rsidRPr="00D473CC">
        <w:rPr>
          <w:rFonts w:ascii="Helvetica Neue" w:eastAsia="Times New Roman" w:hAnsi="Helvetica Neue" w:cs="Times New Roman"/>
          <w:color w:val="000000"/>
          <w:kern w:val="0"/>
          <w:sz w:val="36"/>
          <w:szCs w:val="36"/>
          <w:lang w:eastAsia="pl-PL"/>
          <w14:ligatures w14:val="none"/>
        </w:rPr>
        <w:t>Wersja polska: Procedura recenzowania (Peer Review Process)</w:t>
      </w:r>
    </w:p>
    <w:p w14:paraId="1F0DC3C3"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Procedura recenzowania artykułów w czasopiśmie „Paideia”</w:t>
      </w:r>
    </w:p>
    <w:p w14:paraId="6E1BC782" w14:textId="77777777" w:rsidR="00D473CC" w:rsidRPr="00D473CC" w:rsidRDefault="00D473CC" w:rsidP="00D473CC">
      <w:pPr>
        <w:numPr>
          <w:ilvl w:val="0"/>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Weryfikacja wstępna (Desk Review):</w:t>
      </w:r>
      <w:r w:rsidRPr="00D473CC">
        <w:rPr>
          <w:rFonts w:ascii="Helvetica Neue" w:eastAsia="Times New Roman" w:hAnsi="Helvetica Neue" w:cs="Times New Roman"/>
          <w:color w:val="000000"/>
          <w:kern w:val="0"/>
          <w:lang w:eastAsia="pl-PL"/>
          <w14:ligatures w14:val="none"/>
        </w:rPr>
        <w:br/>
        <w:t>Każdy artykuł zgłoszony do redakcji podlega wstępnej ocenie formalnej i merytorycznej przez Redaktora Naczelnego lub Redaktora Tematycznego. Na tym etapie weryfikowane są: zgodność tekstu z profilem naukowym czasopisma (Aims and Scope), wymogami edytorskimi oraz oryginalność tekstu przy użyciu systemu antyplagiatowego. Artykuły niespełniające kryteriów formalnych lub rażąco odbiegające od profilu pisma są odrzucane bez kierowania do recenzji.</w:t>
      </w:r>
    </w:p>
    <w:p w14:paraId="3AC1C4DB" w14:textId="77777777" w:rsidR="00D473CC" w:rsidRPr="00D473CC" w:rsidRDefault="00D473CC" w:rsidP="00D473CC">
      <w:pPr>
        <w:numPr>
          <w:ilvl w:val="0"/>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Zasada Double-Blind Peer Review:</w:t>
      </w:r>
      <w:r w:rsidRPr="00D473CC">
        <w:rPr>
          <w:rFonts w:ascii="Helvetica Neue" w:eastAsia="Times New Roman" w:hAnsi="Helvetica Neue" w:cs="Times New Roman"/>
          <w:color w:val="000000"/>
          <w:kern w:val="0"/>
          <w:lang w:eastAsia="pl-PL"/>
          <w14:ligatures w14:val="none"/>
        </w:rPr>
        <w:br/>
        <w:t>Teksty zakwalifikowane do dalszego etapu są wysyłane do recenzji naukowej. Redakcja stosuje procedurę </w:t>
      </w:r>
      <w:r w:rsidRPr="00D473CC">
        <w:rPr>
          <w:rFonts w:ascii="Helvetica Neue" w:eastAsia="Times New Roman" w:hAnsi="Helvetica Neue" w:cs="Times New Roman"/>
          <w:i/>
          <w:iCs/>
          <w:color w:val="000000"/>
          <w:kern w:val="0"/>
          <w:lang w:eastAsia="pl-PL"/>
          <w14:ligatures w14:val="none"/>
        </w:rPr>
        <w:t>double-blind peer review</w:t>
      </w:r>
      <w:r w:rsidRPr="00D473CC">
        <w:rPr>
          <w:rFonts w:ascii="Helvetica Neue" w:eastAsia="Times New Roman" w:hAnsi="Helvetica Neue" w:cs="Times New Roman"/>
          <w:color w:val="000000"/>
          <w:kern w:val="0"/>
          <w:lang w:eastAsia="pl-PL"/>
          <w14:ligatures w14:val="none"/>
        </w:rPr>
        <w:t> (podwójnie ślepa recenzja), co oznacza, że autor (autorzy) i recenzenci nie znają swoich tożsamości. Tekst jest w pełni zanonimizowany przed wysłaniem do oceny.</w:t>
      </w:r>
    </w:p>
    <w:p w14:paraId="36A9DE59" w14:textId="77777777" w:rsidR="00D473CC" w:rsidRPr="00D473CC" w:rsidRDefault="00D473CC" w:rsidP="00D473CC">
      <w:pPr>
        <w:numPr>
          <w:ilvl w:val="0"/>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lastRenderedPageBreak/>
        <w:t>Dobór recenzentów:</w:t>
      </w:r>
      <w:r w:rsidRPr="00D473CC">
        <w:rPr>
          <w:rFonts w:ascii="Helvetica Neue" w:eastAsia="Times New Roman" w:hAnsi="Helvetica Neue" w:cs="Times New Roman"/>
          <w:color w:val="000000"/>
          <w:kern w:val="0"/>
          <w:lang w:eastAsia="pl-PL"/>
          <w14:ligatures w14:val="none"/>
        </w:rPr>
        <w:br/>
        <w:t>Każdy artykuł jest oceniany przez co najmniej dwóch niezależnych recenzentów będących uznanymi ekspertami w danej dziedzinie. Recenzenci muszą posiadać co najmniej stopień naukowy doktora oraz nie mogą być afiliowani w tej samej jednostce naukowej, z której pochodzi autor artykułu. Ponadto między autorami a recenzentami nie może występować konflikt interesów (np. bezpośrednia relacja osobista, podległość zawodowa lub bezpośrednia współpraca naukowa w ciągu ostatnich dwóch lat).</w:t>
      </w:r>
    </w:p>
    <w:p w14:paraId="2DC3DF8A" w14:textId="77777777" w:rsidR="00D473CC" w:rsidRPr="00D473CC" w:rsidRDefault="00D473CC" w:rsidP="00D473CC">
      <w:pPr>
        <w:numPr>
          <w:ilvl w:val="0"/>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Forma i kryteria recenzji:</w:t>
      </w:r>
      <w:r w:rsidRPr="00D473CC">
        <w:rPr>
          <w:rFonts w:ascii="Helvetica Neue" w:eastAsia="Times New Roman" w:hAnsi="Helvetica Neue" w:cs="Times New Roman"/>
          <w:color w:val="000000"/>
          <w:kern w:val="0"/>
          <w:lang w:eastAsia="pl-PL"/>
          <w14:ligatures w14:val="none"/>
        </w:rPr>
        <w:br/>
        <w:t>Recenzja ma formę pisemną i kończy się jednoznacznym wnioskiem o:</w:t>
      </w:r>
    </w:p>
    <w:p w14:paraId="4E63777D" w14:textId="77777777" w:rsidR="00D473CC" w:rsidRPr="00D473CC" w:rsidRDefault="00D473CC" w:rsidP="00D473CC">
      <w:pPr>
        <w:numPr>
          <w:ilvl w:val="1"/>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Przyjęcie artykułu bez poprawek.</w:t>
      </w:r>
    </w:p>
    <w:p w14:paraId="58EBE5C1" w14:textId="77777777" w:rsidR="00D473CC" w:rsidRPr="00D473CC" w:rsidRDefault="00D473CC" w:rsidP="00D473CC">
      <w:pPr>
        <w:numPr>
          <w:ilvl w:val="1"/>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Przyjęcie artykułu po dokonaniu drobnych poprawek (bez konieczności ponownej recenzji).</w:t>
      </w:r>
    </w:p>
    <w:p w14:paraId="6CD9F3CE" w14:textId="77777777" w:rsidR="00D473CC" w:rsidRPr="00D473CC" w:rsidRDefault="00D473CC" w:rsidP="00D473CC">
      <w:pPr>
        <w:numPr>
          <w:ilvl w:val="1"/>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Ponowną ocenę po dokonaniu istotnych zmian i poprawek (wymagana ponowna recenzja).</w:t>
      </w:r>
    </w:p>
    <w:p w14:paraId="006B05C0" w14:textId="77777777" w:rsidR="00D473CC" w:rsidRPr="00D473CC" w:rsidRDefault="00D473CC" w:rsidP="00D473CC">
      <w:pPr>
        <w:numPr>
          <w:ilvl w:val="1"/>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Odrzucenie artykułu.</w:t>
      </w:r>
    </w:p>
    <w:p w14:paraId="24C8370C" w14:textId="77777777" w:rsidR="00D473CC" w:rsidRPr="00D473CC" w:rsidRDefault="00D473CC" w:rsidP="00D473CC">
      <w:pPr>
        <w:ind w:left="720"/>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Kryteria oceny obejmują m.in. oryginalność podjętej problematyki, poprawność metodologiczną, jasność wywodu, właściwy dobór literatury przedmiotu oraz wkład tekstu w rozwój nauki.</w:t>
      </w:r>
    </w:p>
    <w:p w14:paraId="2FF485DA" w14:textId="77777777" w:rsidR="00D473CC" w:rsidRPr="00D473CC" w:rsidRDefault="00D473CC" w:rsidP="00D473CC">
      <w:pPr>
        <w:numPr>
          <w:ilvl w:val="0"/>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Decyzja o publikacji:</w:t>
      </w:r>
    </w:p>
    <w:p w14:paraId="52BFCDE7" w14:textId="77777777" w:rsidR="00D473CC" w:rsidRPr="00D473CC" w:rsidRDefault="00D473CC" w:rsidP="00D473CC">
      <w:pPr>
        <w:numPr>
          <w:ilvl w:val="1"/>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Warunkiem dopuszczenia artykułu do publikacji są dwie pozytywne recenzje.</w:t>
      </w:r>
    </w:p>
    <w:p w14:paraId="234B06FA" w14:textId="77777777" w:rsidR="00D473CC" w:rsidRPr="00D473CC" w:rsidRDefault="00D473CC" w:rsidP="00D473CC">
      <w:pPr>
        <w:numPr>
          <w:ilvl w:val="1"/>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W przypadku rozbieżnych ocen (jedna recenzja pozytywna, jedna negatywna), Redakcja powołuje trzeciego recenzenta, którego ocena jest rozstrzygająca, lub podejmuje ostateczną decyzję na posiedzeniu Kolegium Redakcyjnego.</w:t>
      </w:r>
    </w:p>
    <w:p w14:paraId="10575DD8" w14:textId="77777777" w:rsidR="00D473CC" w:rsidRPr="00D473CC" w:rsidRDefault="00D473CC" w:rsidP="00D473CC">
      <w:pPr>
        <w:numPr>
          <w:ilvl w:val="1"/>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Autor otrzymuje do wglądu treść recenzji (bez danych recenzentów) i jest zobowiązany do odniesienia się do uwag oraz odesłania poprawionej wersji tekstu w wyznaczonym terminie.</w:t>
      </w:r>
    </w:p>
    <w:p w14:paraId="02B7E3B7" w14:textId="77777777" w:rsidR="00D473CC" w:rsidRPr="00D473CC" w:rsidRDefault="00D473CC" w:rsidP="00D473CC">
      <w:pPr>
        <w:numPr>
          <w:ilvl w:val="0"/>
          <w:numId w:val="2"/>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Lista recenzentów:</w:t>
      </w:r>
      <w:r w:rsidRPr="00D473CC">
        <w:rPr>
          <w:rFonts w:ascii="Helvetica Neue" w:eastAsia="Times New Roman" w:hAnsi="Helvetica Neue" w:cs="Times New Roman"/>
          <w:color w:val="000000"/>
          <w:kern w:val="0"/>
          <w:lang w:eastAsia="pl-PL"/>
          <w14:ligatures w14:val="none"/>
        </w:rPr>
        <w:br/>
        <w:t>Raz w roku (w ostatnim numerze rocznika lub na stronie internetowej) Redakcja publikuje zbiorczą listę recenzentów współpracujących z czasopismem w danym roku, bez wskazywania, które artykuły oceniali.</w:t>
      </w:r>
    </w:p>
    <w:p w14:paraId="63A79874" w14:textId="77777777" w:rsidR="00D473CC" w:rsidRPr="00D473CC" w:rsidRDefault="00F41879" w:rsidP="00D473CC">
      <w:pPr>
        <w:spacing w:before="480" w:after="480"/>
        <w:rPr>
          <w:rFonts w:ascii="Helvetica Neue" w:eastAsia="Times New Roman" w:hAnsi="Helvetica Neue" w:cs="Times New Roman"/>
          <w:kern w:val="0"/>
          <w:sz w:val="21"/>
          <w:szCs w:val="21"/>
          <w:lang w:eastAsia="pl-PL"/>
          <w14:ligatures w14:val="none"/>
        </w:rPr>
      </w:pPr>
      <w:r>
        <w:pict w14:anchorId="46FF95E8">
          <v:rect id="Horizontal Line 10" o:spid="_x0000_s10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908418" w14:textId="77777777" w:rsidR="00D473CC" w:rsidRPr="00D473CC" w:rsidRDefault="00D473CC" w:rsidP="00D473CC">
      <w:pPr>
        <w:rPr>
          <w:rFonts w:ascii="Helvetica Neue" w:eastAsia="Times New Roman" w:hAnsi="Helvetica Neue" w:cs="Times New Roman"/>
          <w:color w:val="000000"/>
          <w:kern w:val="0"/>
          <w:sz w:val="36"/>
          <w:szCs w:val="36"/>
          <w:lang w:eastAsia="pl-PL"/>
          <w14:ligatures w14:val="none"/>
        </w:rPr>
      </w:pPr>
      <w:r w:rsidRPr="00D473CC">
        <w:rPr>
          <w:rFonts w:ascii="Helvetica Neue" w:eastAsia="Times New Roman" w:hAnsi="Helvetica Neue" w:cs="Times New Roman"/>
          <w:color w:val="000000"/>
          <w:kern w:val="0"/>
          <w:sz w:val="36"/>
          <w:szCs w:val="36"/>
          <w:lang w:eastAsia="pl-PL"/>
          <w14:ligatures w14:val="none"/>
        </w:rPr>
        <w:t>Wersja angielska: Peer Review Process</w:t>
      </w:r>
    </w:p>
    <w:p w14:paraId="5628510D"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Peer Review Process for "Paideia" Journal</w:t>
      </w:r>
    </w:p>
    <w:p w14:paraId="63BA52BC" w14:textId="77777777" w:rsidR="00D473CC" w:rsidRPr="00D473CC" w:rsidRDefault="00D473CC" w:rsidP="00D473CC">
      <w:pPr>
        <w:numPr>
          <w:ilvl w:val="0"/>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Initial Evaluation (Desk Review):</w:t>
      </w:r>
      <w:r w:rsidRPr="00D473CC">
        <w:rPr>
          <w:rFonts w:ascii="Helvetica Neue" w:eastAsia="Times New Roman" w:hAnsi="Helvetica Neue" w:cs="Times New Roman"/>
          <w:color w:val="000000"/>
          <w:kern w:val="0"/>
          <w:lang w:eastAsia="pl-PL"/>
          <w14:ligatures w14:val="none"/>
        </w:rPr>
        <w:br/>
        <w:t>Each submitted manuscript undergoes an initial formal and thematic assessment by the Editor-in-Chief or Section Editor. At this stage, the text is evaluated for alignment with the journal’s aims and scope, compliance with editorial guidelines, and originality (checked with anti-plagiarism software). Manuscripts that do not meet formal criteria or fall outside the scope of the journal are rejected without external review.</w:t>
      </w:r>
    </w:p>
    <w:p w14:paraId="7E04EF87" w14:textId="77777777" w:rsidR="00D473CC" w:rsidRPr="00D473CC" w:rsidRDefault="00D473CC" w:rsidP="00D473CC">
      <w:pPr>
        <w:numPr>
          <w:ilvl w:val="0"/>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lastRenderedPageBreak/>
        <w:t>Double-Blind Peer Review Policy:</w:t>
      </w:r>
      <w:r w:rsidRPr="00D473CC">
        <w:rPr>
          <w:rFonts w:ascii="Helvetica Neue" w:eastAsia="Times New Roman" w:hAnsi="Helvetica Neue" w:cs="Times New Roman"/>
          <w:color w:val="000000"/>
          <w:kern w:val="0"/>
          <w:lang w:eastAsia="pl-PL"/>
          <w14:ligatures w14:val="none"/>
        </w:rPr>
        <w:br/>
        <w:t>Manuscripts approved at the initial stage are sent for external peer review. The journal employs a </w:t>
      </w:r>
      <w:r w:rsidRPr="00D473CC">
        <w:rPr>
          <w:rFonts w:ascii="Helvetica Neue" w:eastAsia="Times New Roman" w:hAnsi="Helvetica Neue" w:cs="Times New Roman"/>
          <w:i/>
          <w:iCs/>
          <w:color w:val="000000"/>
          <w:kern w:val="0"/>
          <w:lang w:eastAsia="pl-PL"/>
          <w14:ligatures w14:val="none"/>
        </w:rPr>
        <w:t>double-blind peer review</w:t>
      </w:r>
      <w:r w:rsidRPr="00D473CC">
        <w:rPr>
          <w:rFonts w:ascii="Helvetica Neue" w:eastAsia="Times New Roman" w:hAnsi="Helvetica Neue" w:cs="Times New Roman"/>
          <w:color w:val="000000"/>
          <w:kern w:val="0"/>
          <w:lang w:eastAsia="pl-PL"/>
          <w14:ligatures w14:val="none"/>
        </w:rPr>
        <w:t> process, which means that both the reviewer and author identities are concealed from each other throughout the review process. Articles are fully anonymized before being sent out.</w:t>
      </w:r>
    </w:p>
    <w:p w14:paraId="1E660A34" w14:textId="77777777" w:rsidR="00D473CC" w:rsidRPr="00D473CC" w:rsidRDefault="00D473CC" w:rsidP="00D473CC">
      <w:pPr>
        <w:numPr>
          <w:ilvl w:val="0"/>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Selection of Reviewers:</w:t>
      </w:r>
      <w:r w:rsidRPr="00D473CC">
        <w:rPr>
          <w:rFonts w:ascii="Helvetica Neue" w:eastAsia="Times New Roman" w:hAnsi="Helvetica Neue" w:cs="Times New Roman"/>
          <w:color w:val="000000"/>
          <w:kern w:val="0"/>
          <w:lang w:eastAsia="pl-PL"/>
          <w14:ligatures w14:val="none"/>
        </w:rPr>
        <w:br/>
        <w:t>Each manuscript is evaluated by at least two independent reviewers who are recognized experts in the respective field. Reviewers must hold at least a PhD degree and cannot be affiliated with the same academic institution as the author. Furthermore, there must be no conflict of interest between authors and reviewers (e.g., direct personal relationships, professional subordination, or direct academic cooperation within the past two years).</w:t>
      </w:r>
    </w:p>
    <w:p w14:paraId="4BA21F9E" w14:textId="77777777" w:rsidR="00D473CC" w:rsidRPr="00D473CC" w:rsidRDefault="00D473CC" w:rsidP="00D473CC">
      <w:pPr>
        <w:numPr>
          <w:ilvl w:val="0"/>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Review Format and Criteria:</w:t>
      </w:r>
      <w:r w:rsidRPr="00D473CC">
        <w:rPr>
          <w:rFonts w:ascii="Helvetica Neue" w:eastAsia="Times New Roman" w:hAnsi="Helvetica Neue" w:cs="Times New Roman"/>
          <w:color w:val="000000"/>
          <w:kern w:val="0"/>
          <w:lang w:eastAsia="pl-PL"/>
          <w14:ligatures w14:val="none"/>
        </w:rPr>
        <w:br/>
        <w:t>Reviews are submitted in written form and conclude with an explicit recommendation:</w:t>
      </w:r>
    </w:p>
    <w:p w14:paraId="25A3C91E" w14:textId="77777777" w:rsidR="00D473CC" w:rsidRPr="00D473CC" w:rsidRDefault="00D473CC" w:rsidP="00D473CC">
      <w:pPr>
        <w:numPr>
          <w:ilvl w:val="1"/>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Accept without revisions.</w:t>
      </w:r>
    </w:p>
    <w:p w14:paraId="176739C6" w14:textId="77777777" w:rsidR="00D473CC" w:rsidRPr="00D473CC" w:rsidRDefault="00D473CC" w:rsidP="00D473CC">
      <w:pPr>
        <w:numPr>
          <w:ilvl w:val="1"/>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Accept with minor revisions (no re-review required).</w:t>
      </w:r>
    </w:p>
    <w:p w14:paraId="6E202B68" w14:textId="77777777" w:rsidR="00D473CC" w:rsidRPr="00D473CC" w:rsidRDefault="00D473CC" w:rsidP="00D473CC">
      <w:pPr>
        <w:numPr>
          <w:ilvl w:val="1"/>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Major revisions required (re-review required).</w:t>
      </w:r>
    </w:p>
    <w:p w14:paraId="632E23C0" w14:textId="77777777" w:rsidR="00D473CC" w:rsidRPr="00D473CC" w:rsidRDefault="00D473CC" w:rsidP="00D473CC">
      <w:pPr>
        <w:numPr>
          <w:ilvl w:val="1"/>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Reject.</w:t>
      </w:r>
    </w:p>
    <w:p w14:paraId="7C1E5709" w14:textId="77777777" w:rsidR="00D473CC" w:rsidRPr="00D473CC" w:rsidRDefault="00D473CC" w:rsidP="00D473CC">
      <w:pPr>
        <w:ind w:left="720"/>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Evaluation criteria include the originality of the research, methodological soundness, clarity of argument, appropriate use of literature, and the manuscript's contribution to the scientific field.</w:t>
      </w:r>
    </w:p>
    <w:p w14:paraId="32FDEFC1" w14:textId="77777777" w:rsidR="00D473CC" w:rsidRPr="00D473CC" w:rsidRDefault="00D473CC" w:rsidP="00D473CC">
      <w:pPr>
        <w:numPr>
          <w:ilvl w:val="0"/>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Final Decision on Publication:</w:t>
      </w:r>
    </w:p>
    <w:p w14:paraId="52E37FC7" w14:textId="77777777" w:rsidR="00D473CC" w:rsidRPr="00D473CC" w:rsidRDefault="00D473CC" w:rsidP="00D473CC">
      <w:pPr>
        <w:numPr>
          <w:ilvl w:val="1"/>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A manuscript is accepted for publication provided it receives two positive reviews.</w:t>
      </w:r>
    </w:p>
    <w:p w14:paraId="7CA9C5C3" w14:textId="77777777" w:rsidR="00D473CC" w:rsidRPr="00D473CC" w:rsidRDefault="00D473CC" w:rsidP="00D473CC">
      <w:pPr>
        <w:numPr>
          <w:ilvl w:val="1"/>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In the case of conflicting reviews (one positive, one negative), the Editorial Board appoints a third reviewer whose opinion is decisive, or the Board makes the final decision collectively.</w:t>
      </w:r>
    </w:p>
    <w:p w14:paraId="1814CD31" w14:textId="77777777" w:rsidR="00D473CC" w:rsidRPr="00D473CC" w:rsidRDefault="00D473CC" w:rsidP="00D473CC">
      <w:pPr>
        <w:numPr>
          <w:ilvl w:val="1"/>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Authors receive the text of the reviews (without reviewer details) and are required to address the comments and submit the revised manuscript within the specified deadline.</w:t>
      </w:r>
    </w:p>
    <w:p w14:paraId="7110944F" w14:textId="77777777" w:rsidR="00D473CC" w:rsidRPr="00D473CC" w:rsidRDefault="00D473CC" w:rsidP="00D473CC">
      <w:pPr>
        <w:numPr>
          <w:ilvl w:val="0"/>
          <w:numId w:val="3"/>
        </w:num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b/>
          <w:bCs/>
          <w:color w:val="000000"/>
          <w:kern w:val="0"/>
          <w:lang w:eastAsia="pl-PL"/>
          <w14:ligatures w14:val="none"/>
        </w:rPr>
        <w:t>List of Reviewers:</w:t>
      </w:r>
      <w:r w:rsidRPr="00D473CC">
        <w:rPr>
          <w:rFonts w:ascii="Helvetica Neue" w:eastAsia="Times New Roman" w:hAnsi="Helvetica Neue" w:cs="Times New Roman"/>
          <w:color w:val="000000"/>
          <w:kern w:val="0"/>
          <w:lang w:eastAsia="pl-PL"/>
          <w14:ligatures w14:val="none"/>
        </w:rPr>
        <w:br/>
        <w:t>Once a year (in the final issue or on the journal's website), the Editorial Board publishes a collective list of reviewers who cooperated with the journal during that year, without linking specific reviewers to particular articles.</w:t>
      </w:r>
    </w:p>
    <w:p w14:paraId="24168DCB" w14:textId="77777777" w:rsidR="00D473CC" w:rsidRPr="00D473CC" w:rsidRDefault="00D473CC" w:rsidP="00D473CC">
      <w:pPr>
        <w:rPr>
          <w:rFonts w:ascii="Helvetica Neue" w:eastAsia="Times New Roman" w:hAnsi="Helvetica Neue" w:cs="Times New Roman"/>
          <w:color w:val="000000"/>
          <w:kern w:val="0"/>
          <w:lang w:eastAsia="pl-PL"/>
          <w14:ligatures w14:val="none"/>
        </w:rPr>
      </w:pPr>
      <w:r w:rsidRPr="00D473CC">
        <w:rPr>
          <w:rFonts w:ascii="Helvetica Neue" w:eastAsia="Times New Roman" w:hAnsi="Helvetica Neue" w:cs="Times New Roman"/>
          <w:color w:val="000000"/>
          <w:kern w:val="0"/>
          <w:lang w:eastAsia="pl-PL"/>
          <w14:ligatures w14:val="none"/>
        </w:rPr>
        <w:t>Aby dopełnić procedury pod kątem DOAJ, warto przygotować formularz oceny dla recenzentów. Czy chcieliby Państwo, abym opracował </w:t>
      </w:r>
      <w:r w:rsidRPr="00D473CC">
        <w:rPr>
          <w:rFonts w:ascii="Helvetica Neue" w:eastAsia="Times New Roman" w:hAnsi="Helvetica Neue" w:cs="Times New Roman"/>
          <w:b/>
          <w:bCs/>
          <w:color w:val="000000"/>
          <w:kern w:val="0"/>
          <w:lang w:eastAsia="pl-PL"/>
          <w14:ligatures w14:val="none"/>
        </w:rPr>
        <w:t>szablon (arkusz) recenzji</w:t>
      </w:r>
      <w:r w:rsidRPr="00D473CC">
        <w:rPr>
          <w:rFonts w:ascii="Helvetica Neue" w:eastAsia="Times New Roman" w:hAnsi="Helvetica Neue" w:cs="Times New Roman"/>
          <w:color w:val="000000"/>
          <w:kern w:val="0"/>
          <w:lang w:eastAsia="pl-PL"/>
          <w14:ligatures w14:val="none"/>
        </w:rPr>
        <w:t> z listą pytań punktowych, który można wysyłać ekspertom?</w:t>
      </w:r>
    </w:p>
    <w:p w14:paraId="104A583A" w14:textId="77777777" w:rsidR="00D473CC" w:rsidRPr="00D473CC" w:rsidRDefault="00D473CC" w:rsidP="00D473CC">
      <w:pPr>
        <w:rPr>
          <w:rFonts w:ascii="Helvetica Neue" w:eastAsia="Times New Roman" w:hAnsi="Helvetica Neue" w:cs="Times New Roman"/>
          <w:color w:val="000000"/>
          <w:kern w:val="0"/>
          <w:sz w:val="21"/>
          <w:szCs w:val="21"/>
          <w:lang w:eastAsia="pl-PL"/>
          <w14:ligatures w14:val="none"/>
        </w:rPr>
      </w:pPr>
      <w:r w:rsidRPr="00D473CC">
        <w:rPr>
          <w:rFonts w:ascii="Helvetica Neue" w:eastAsia="Times New Roman" w:hAnsi="Helvetica Neue" w:cs="Times New Roman"/>
          <w:color w:val="000000"/>
          <w:kern w:val="0"/>
          <w:sz w:val="21"/>
          <w:szCs w:val="21"/>
          <w:lang w:eastAsia="pl-PL"/>
          <w14:ligatures w14:val="none"/>
        </w:rPr>
        <w:t>Odpowiedzi wygenerowane przez AI mogą zawierać błędy. </w:t>
      </w:r>
      <w:hyperlink r:id="rId5" w:history="1">
        <w:r w:rsidRPr="00D473CC">
          <w:rPr>
            <w:rFonts w:ascii="Helvetica Neue" w:eastAsia="Times New Roman" w:hAnsi="Helvetica Neue" w:cs="Times New Roman"/>
            <w:color w:val="0000FF"/>
            <w:kern w:val="0"/>
            <w:sz w:val="21"/>
            <w:szCs w:val="21"/>
            <w:u w:val="single"/>
            <w:lang w:eastAsia="pl-PL"/>
            <w14:ligatures w14:val="none"/>
          </w:rPr>
          <w:t>Więcej informacji</w:t>
        </w:r>
      </w:hyperlink>
    </w:p>
    <w:p w14:paraId="705BF3A0" w14:textId="77777777" w:rsidR="00D473CC" w:rsidRDefault="00D473CC"/>
    <w:sectPr w:rsidR="00D473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321728"/>
    <w:multiLevelType w:val="multilevel"/>
    <w:tmpl w:val="066224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0D24DF"/>
    <w:multiLevelType w:val="multilevel"/>
    <w:tmpl w:val="93361F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1C34F5"/>
    <w:multiLevelType w:val="multilevel"/>
    <w:tmpl w:val="B606B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956902">
    <w:abstractNumId w:val="2"/>
  </w:num>
  <w:num w:numId="2" w16cid:durableId="185214662">
    <w:abstractNumId w:val="1"/>
  </w:num>
  <w:num w:numId="3" w16cid:durableId="7856645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CC"/>
    <w:rsid w:val="00132380"/>
    <w:rsid w:val="0025179B"/>
    <w:rsid w:val="00257954"/>
    <w:rsid w:val="00712F2D"/>
    <w:rsid w:val="00745445"/>
    <w:rsid w:val="00821C3E"/>
    <w:rsid w:val="00902F56"/>
    <w:rsid w:val="00CB6703"/>
    <w:rsid w:val="00D473CC"/>
    <w:rsid w:val="00F41879"/>
    <w:rsid w:val="00F74C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4A1BB1D"/>
  <w15:chartTrackingRefBased/>
  <w15:docId w15:val="{D44F6B20-2887-B849-A5E2-8EA50F0C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473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473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473C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473C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473C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473C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473C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473C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473C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73C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473C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473C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473C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473C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473C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473C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473C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473CC"/>
    <w:rPr>
      <w:rFonts w:eastAsiaTheme="majorEastAsia" w:cstheme="majorBidi"/>
      <w:color w:val="272727" w:themeColor="text1" w:themeTint="D8"/>
    </w:rPr>
  </w:style>
  <w:style w:type="paragraph" w:styleId="Tytu">
    <w:name w:val="Title"/>
    <w:basedOn w:val="Normalny"/>
    <w:next w:val="Normalny"/>
    <w:link w:val="TytuZnak"/>
    <w:uiPriority w:val="10"/>
    <w:qFormat/>
    <w:rsid w:val="00D473C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473C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473C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473C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473C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D473CC"/>
    <w:rPr>
      <w:i/>
      <w:iCs/>
      <w:color w:val="404040" w:themeColor="text1" w:themeTint="BF"/>
    </w:rPr>
  </w:style>
  <w:style w:type="paragraph" w:styleId="Akapitzlist">
    <w:name w:val="List Paragraph"/>
    <w:basedOn w:val="Normalny"/>
    <w:uiPriority w:val="34"/>
    <w:qFormat/>
    <w:rsid w:val="00D473CC"/>
    <w:pPr>
      <w:ind w:left="720"/>
      <w:contextualSpacing/>
    </w:pPr>
  </w:style>
  <w:style w:type="character" w:styleId="Wyrnienieintensywne">
    <w:name w:val="Intense Emphasis"/>
    <w:basedOn w:val="Domylnaczcionkaakapitu"/>
    <w:uiPriority w:val="21"/>
    <w:qFormat/>
    <w:rsid w:val="00D473CC"/>
    <w:rPr>
      <w:i/>
      <w:iCs/>
      <w:color w:val="2F5496" w:themeColor="accent1" w:themeShade="BF"/>
    </w:rPr>
  </w:style>
  <w:style w:type="paragraph" w:styleId="Cytatintensywny">
    <w:name w:val="Intense Quote"/>
    <w:basedOn w:val="Normalny"/>
    <w:next w:val="Normalny"/>
    <w:link w:val="CytatintensywnyZnak"/>
    <w:uiPriority w:val="30"/>
    <w:qFormat/>
    <w:rsid w:val="00D473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473CC"/>
    <w:rPr>
      <w:i/>
      <w:iCs/>
      <w:color w:val="2F5496" w:themeColor="accent1" w:themeShade="BF"/>
    </w:rPr>
  </w:style>
  <w:style w:type="character" w:styleId="Odwoanieintensywne">
    <w:name w:val="Intense Reference"/>
    <w:basedOn w:val="Domylnaczcionkaakapitu"/>
    <w:uiPriority w:val="32"/>
    <w:qFormat/>
    <w:rsid w:val="00D473CC"/>
    <w:rPr>
      <w:b/>
      <w:bCs/>
      <w:smallCaps/>
      <w:color w:val="2F5496" w:themeColor="accent1" w:themeShade="BF"/>
      <w:spacing w:val="5"/>
    </w:rPr>
  </w:style>
  <w:style w:type="character" w:customStyle="1" w:styleId="apple-converted-space">
    <w:name w:val="apple-converted-space"/>
    <w:basedOn w:val="Domylnaczcionkaakapitu"/>
    <w:rsid w:val="00D473CC"/>
  </w:style>
  <w:style w:type="character" w:styleId="Pogrubienie">
    <w:name w:val="Strong"/>
    <w:basedOn w:val="Domylnaczcionkaakapitu"/>
    <w:uiPriority w:val="22"/>
    <w:qFormat/>
    <w:rsid w:val="00D473CC"/>
    <w:rPr>
      <w:b/>
      <w:bCs/>
    </w:rPr>
  </w:style>
  <w:style w:type="character" w:styleId="Uwydatnienie">
    <w:name w:val="Emphasis"/>
    <w:basedOn w:val="Domylnaczcionkaakapitu"/>
    <w:uiPriority w:val="20"/>
    <w:qFormat/>
    <w:rsid w:val="00D473CC"/>
    <w:rPr>
      <w:i/>
      <w:iCs/>
    </w:rPr>
  </w:style>
  <w:style w:type="paragraph" w:customStyle="1" w:styleId="z1qcye">
    <w:name w:val="z1qcye"/>
    <w:basedOn w:val="Normalny"/>
    <w:rsid w:val="00D473CC"/>
    <w:pPr>
      <w:spacing w:before="100" w:beforeAutospacing="1" w:after="100" w:afterAutospacing="1"/>
    </w:pPr>
    <w:rPr>
      <w:rFonts w:ascii="Times New Roman" w:eastAsia="Times New Roman" w:hAnsi="Times New Roman" w:cs="Times New Roman"/>
      <w:kern w:val="0"/>
      <w:lang w:eastAsia="pl-PL"/>
      <w14:ligatures w14:val="none"/>
    </w:rPr>
  </w:style>
  <w:style w:type="character" w:customStyle="1" w:styleId="inqyif">
    <w:name w:val="inqyif"/>
    <w:basedOn w:val="Domylnaczcionkaakapitu"/>
    <w:rsid w:val="00D473CC"/>
  </w:style>
  <w:style w:type="character" w:styleId="Hipercze">
    <w:name w:val="Hyperlink"/>
    <w:basedOn w:val="Domylnaczcionkaakapitu"/>
    <w:uiPriority w:val="99"/>
    <w:semiHidden/>
    <w:unhideWhenUsed/>
    <w:rsid w:val="00D4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upport.google.com/websearch?p=aimode"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1545</Words>
  <Characters>10065</Characters>
  <Application>Microsoft Office Word</Application>
  <DocSecurity>0</DocSecurity>
  <Lines>165</Lines>
  <Paragraphs>40</Paragraphs>
  <ScaleCrop>false</ScaleCrop>
  <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Mikołaj Krasnodębski</dc:creator>
  <cp:keywords/>
  <dc:description/>
  <cp:lastModifiedBy>Mikołaj Krasnodębski</cp:lastModifiedBy>
  <cp:revision>2</cp:revision>
  <dcterms:created xsi:type="dcterms:W3CDTF">2026-09-02T14:20:00Z</dcterms:created>
  <dcterms:modified xsi:type="dcterms:W3CDTF">2026-09-02T14:32:00Z</dcterms:modified>
</cp:coreProperties>
</file>