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CF" w:rsidRDefault="00A45ACF" w:rsidP="00F62056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</w:p>
    <w:p w:rsidR="0090768E" w:rsidRDefault="0090768E" w:rsidP="00F62056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 xml:space="preserve">SWPR - </w:t>
      </w:r>
      <w:r w:rsidRPr="002C1F9D">
        <w:rPr>
          <w:rFonts w:cs="Verdana"/>
          <w:sz w:val="24"/>
          <w:szCs w:val="24"/>
        </w:rPr>
        <w:t>Szkoła Wyższa Przymierza Rodzin w Warszawie i Fundacja Wspierania Aktywności Lokalnej „FALA” realizują</w:t>
      </w:r>
      <w:r>
        <w:rPr>
          <w:rFonts w:cs="Verdana"/>
          <w:sz w:val="24"/>
          <w:szCs w:val="24"/>
        </w:rPr>
        <w:t>c</w:t>
      </w:r>
      <w:r w:rsidRPr="002C1F9D">
        <w:rPr>
          <w:rFonts w:cs="Verdana"/>
          <w:sz w:val="24"/>
          <w:szCs w:val="24"/>
        </w:rPr>
        <w:t xml:space="preserve"> projekt finansowany ze środków unijnych: Program Operacyjny Wiedza Edukacja Rozwój (PO WER). </w:t>
      </w:r>
      <w:r>
        <w:rPr>
          <w:rFonts w:cs="Verdana"/>
          <w:sz w:val="24"/>
          <w:szCs w:val="24"/>
        </w:rPr>
        <w:t xml:space="preserve">Pt. „Wielka mała szkoła” zaprasza do udziału w przygotowaniu scenariuszy do realizacji projektów edukacyjnych. </w:t>
      </w:r>
    </w:p>
    <w:p w:rsidR="00F62056" w:rsidRPr="002C1F9D" w:rsidRDefault="004B4807" w:rsidP="0090768E">
      <w:pPr>
        <w:autoSpaceDE w:val="0"/>
        <w:autoSpaceDN w:val="0"/>
        <w:adjustRightInd w:val="0"/>
        <w:spacing w:after="0"/>
        <w:ind w:firstLine="708"/>
        <w:jc w:val="both"/>
        <w:rPr>
          <w:rFonts w:cs="Verdana"/>
          <w:sz w:val="24"/>
          <w:szCs w:val="24"/>
        </w:rPr>
      </w:pPr>
      <w:r w:rsidRPr="002C1F9D">
        <w:rPr>
          <w:rFonts w:cs="Verdana"/>
          <w:sz w:val="24"/>
          <w:szCs w:val="24"/>
        </w:rPr>
        <w:t>Uczniowie w ok</w:t>
      </w:r>
      <w:r w:rsidR="00A45ACF">
        <w:rPr>
          <w:rFonts w:cs="Verdana"/>
          <w:sz w:val="24"/>
          <w:szCs w:val="24"/>
        </w:rPr>
        <w:t>resie I-VI i IX-XII 2019 r. będą</w:t>
      </w:r>
      <w:r w:rsidRPr="002C1F9D">
        <w:rPr>
          <w:rFonts w:cs="Verdana"/>
          <w:sz w:val="24"/>
          <w:szCs w:val="24"/>
        </w:rPr>
        <w:t xml:space="preserve"> brali udział w pozalekcyjnych warsztatach opartych na wybranych scenariuszach pro</w:t>
      </w:r>
      <w:r w:rsidR="00043846">
        <w:rPr>
          <w:rFonts w:cs="Verdana"/>
          <w:sz w:val="24"/>
          <w:szCs w:val="24"/>
        </w:rPr>
        <w:t>jektów edukacyjnych rozwijających</w:t>
      </w:r>
      <w:r w:rsidRPr="002C1F9D">
        <w:rPr>
          <w:rFonts w:cs="Verdana"/>
          <w:sz w:val="24"/>
          <w:szCs w:val="24"/>
        </w:rPr>
        <w:t xml:space="preserve"> kompetencje </w:t>
      </w:r>
      <w:proofErr w:type="spellStart"/>
      <w:r w:rsidRPr="002C1F9D">
        <w:rPr>
          <w:rFonts w:cs="Verdana"/>
          <w:b/>
          <w:sz w:val="24"/>
          <w:szCs w:val="24"/>
        </w:rPr>
        <w:t>matematyczno</w:t>
      </w:r>
      <w:proofErr w:type="spellEnd"/>
      <w:r w:rsidRPr="002C1F9D">
        <w:rPr>
          <w:rFonts w:cs="Verdana"/>
          <w:b/>
          <w:sz w:val="24"/>
          <w:szCs w:val="24"/>
        </w:rPr>
        <w:t xml:space="preserve"> przyrodnicze</w:t>
      </w:r>
      <w:r w:rsidR="00A45ACF">
        <w:rPr>
          <w:rFonts w:cs="Verdana"/>
          <w:b/>
          <w:sz w:val="24"/>
          <w:szCs w:val="24"/>
        </w:rPr>
        <w:t>, TIK i</w:t>
      </w:r>
      <w:r w:rsidR="00A45ACF">
        <w:rPr>
          <w:rFonts w:cs="Verdana"/>
          <w:b/>
        </w:rPr>
        <w:t xml:space="preserve"> </w:t>
      </w:r>
      <w:r w:rsidR="00A45ACF" w:rsidRPr="00A45ACF">
        <w:rPr>
          <w:rFonts w:cs="Verdana"/>
          <w:b/>
        </w:rPr>
        <w:t>przedsiębiorczośc</w:t>
      </w:r>
      <w:r w:rsidR="00A45ACF" w:rsidRPr="002C1F9D">
        <w:rPr>
          <w:rFonts w:cs="Verdana"/>
          <w:b/>
        </w:rPr>
        <w:t>i</w:t>
      </w:r>
      <w:r w:rsidR="00A45ACF">
        <w:rPr>
          <w:rFonts w:cs="Verdana"/>
          <w:b/>
          <w:sz w:val="24"/>
          <w:szCs w:val="24"/>
        </w:rPr>
        <w:t xml:space="preserve">. </w:t>
      </w:r>
      <w:r w:rsidR="00F62056" w:rsidRPr="002C1F9D">
        <w:rPr>
          <w:rFonts w:cs="Verdana"/>
          <w:sz w:val="24"/>
          <w:szCs w:val="24"/>
        </w:rPr>
        <w:t xml:space="preserve">Do zajęć pozalekcyjnych wymagane są </w:t>
      </w:r>
      <w:r w:rsidR="00F62056" w:rsidRPr="0090768E">
        <w:rPr>
          <w:rFonts w:cs="Verdana"/>
          <w:sz w:val="24"/>
          <w:szCs w:val="24"/>
          <w:u w:val="single"/>
        </w:rPr>
        <w:t>scenariusze</w:t>
      </w:r>
      <w:r w:rsidR="00F62056" w:rsidRPr="002C1F9D">
        <w:rPr>
          <w:rFonts w:cs="Verdana"/>
          <w:sz w:val="24"/>
          <w:szCs w:val="24"/>
        </w:rPr>
        <w:t xml:space="preserve"> ro</w:t>
      </w:r>
      <w:r w:rsidR="0090768E">
        <w:rPr>
          <w:rFonts w:cs="Verdana"/>
          <w:sz w:val="24"/>
          <w:szCs w:val="24"/>
        </w:rPr>
        <w:t xml:space="preserve">zwijające wskazane kompetencje, z podziałem na następujące grupy wiekowe: dla klas 1-3 (4-5 scenariuszy), dla klas 4-6 (4-5 scenariuszy) dla klas 7-8+ gimnazjum (2-4 scenariusze). </w:t>
      </w:r>
      <w:r w:rsidR="00F62056" w:rsidRPr="002C1F9D">
        <w:rPr>
          <w:rFonts w:cs="Verdana"/>
          <w:sz w:val="24"/>
          <w:szCs w:val="24"/>
        </w:rPr>
        <w:t>Każdy scenariusz powinien być rozpisany na 20 jednostek lekcyjnych (45 min) do realizacji w 2-3 godzinnych modułach.</w:t>
      </w:r>
      <w:r w:rsidR="00F62056">
        <w:rPr>
          <w:rFonts w:cs="Verdana"/>
          <w:sz w:val="24"/>
          <w:szCs w:val="24"/>
        </w:rPr>
        <w:t xml:space="preserve"> </w:t>
      </w:r>
      <w:r w:rsidR="00F62056" w:rsidRPr="002C1F9D">
        <w:rPr>
          <w:rFonts w:cs="Verdana"/>
          <w:sz w:val="24"/>
          <w:szCs w:val="24"/>
        </w:rPr>
        <w:t>Każdy scenariusz powinien mieć minimum 50 stron i być  dostosowany  do odpowiedniego etapu edu</w:t>
      </w:r>
      <w:r w:rsidR="00F62056">
        <w:rPr>
          <w:rFonts w:cs="Verdana"/>
          <w:sz w:val="24"/>
          <w:szCs w:val="24"/>
        </w:rPr>
        <w:t xml:space="preserve">kacyjnego. Dopuszcza się możliwość opracowania scenariusza o charakterze uniwersalnym obejmujący swoim zakresem </w:t>
      </w:r>
      <w:r w:rsidR="002E2BEE">
        <w:rPr>
          <w:rFonts w:cs="Verdana"/>
          <w:sz w:val="24"/>
          <w:szCs w:val="24"/>
        </w:rPr>
        <w:t xml:space="preserve">wszystkie </w:t>
      </w:r>
      <w:r w:rsidR="00F62056">
        <w:rPr>
          <w:rFonts w:cs="Verdana"/>
          <w:sz w:val="24"/>
          <w:szCs w:val="24"/>
        </w:rPr>
        <w:t>klasy SP ale z podziałem na ćwiczenia dostosowane do wieku i możl</w:t>
      </w:r>
      <w:r w:rsidR="00A45ACF">
        <w:rPr>
          <w:rFonts w:cs="Verdana"/>
          <w:sz w:val="24"/>
          <w:szCs w:val="24"/>
        </w:rPr>
        <w:t>iwości dzieci zgodnie z zasadą indywidualizacji.</w:t>
      </w:r>
    </w:p>
    <w:p w:rsidR="0028408A" w:rsidRDefault="0028408A" w:rsidP="004B4807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</w:p>
    <w:p w:rsidR="004B4807" w:rsidRPr="002C1F9D" w:rsidRDefault="00F62056" w:rsidP="004B4807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 w:rsidRPr="00A45ACF">
        <w:rPr>
          <w:rFonts w:cs="Verdana"/>
          <w:b/>
          <w:sz w:val="24"/>
          <w:szCs w:val="24"/>
        </w:rPr>
        <w:t xml:space="preserve"> </w:t>
      </w:r>
      <w:r w:rsidR="00A45ACF" w:rsidRPr="00A45ACF">
        <w:rPr>
          <w:rFonts w:cs="Verdana"/>
          <w:b/>
          <w:sz w:val="24"/>
          <w:szCs w:val="24"/>
        </w:rPr>
        <w:t>Opis kompetencji</w:t>
      </w:r>
      <w:r w:rsidR="00A45ACF">
        <w:rPr>
          <w:rFonts w:cs="Verdana"/>
          <w:sz w:val="24"/>
          <w:szCs w:val="24"/>
        </w:rPr>
        <w:t xml:space="preserve">: </w:t>
      </w:r>
      <w:r w:rsidR="004B4807" w:rsidRPr="00A45ACF">
        <w:rPr>
          <w:b/>
          <w:u w:val="single"/>
        </w:rPr>
        <w:t>k</w:t>
      </w:r>
      <w:r w:rsidR="004B4807" w:rsidRPr="00A45ACF">
        <w:rPr>
          <w:b/>
          <w:sz w:val="24"/>
          <w:szCs w:val="24"/>
          <w:u w:val="single"/>
        </w:rPr>
        <w:t>ompetencje matematyczne</w:t>
      </w:r>
      <w:r w:rsidR="004B4807" w:rsidRPr="002C1F9D">
        <w:rPr>
          <w:sz w:val="24"/>
          <w:szCs w:val="24"/>
        </w:rPr>
        <w:t xml:space="preserve"> to umiejętność rozwijania i wykorzystywania myślenia matematycznego w celu rozwiązywania problemów wynikających z codziennych sytuacji. Istotne są zarówno proces i czynność, jak i wiedza, przy czym podstawę stanowi należyte opanowanie umiejętności rozumowania matematycznego. Kompetencje matematyczne obejmują – w różnym stopniu – zdolność i chęć wykorzystywania matematycznych sposobów myślenia (myślenie logiczne i przestrzenne) oraz prezentacji (wzory, modele, konstrukty, wykresy, tabele). </w:t>
      </w:r>
    </w:p>
    <w:p w:rsidR="004B4807" w:rsidRPr="0090768E" w:rsidRDefault="00AE505E" w:rsidP="0090768E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A45ACF">
        <w:rPr>
          <w:rFonts w:asciiTheme="minorHAnsi" w:hAnsiTheme="minorHAnsi"/>
          <w:b/>
          <w:u w:val="single"/>
        </w:rPr>
        <w:t>Kompetencje przyrodnicze</w:t>
      </w:r>
      <w:r w:rsidR="004B4807" w:rsidRPr="002C1F9D">
        <w:rPr>
          <w:rFonts w:asciiTheme="minorHAnsi" w:hAnsiTheme="minorHAnsi"/>
        </w:rPr>
        <w:t xml:space="preserve"> odnoszą się do zdolności i chęci wykorzystywania istniejącego zasobu wiedzy i metodologii do wyjaśniania świata przyrody, w celu formułowania pytań i wyciągania wniosków opartych na dowodach</w:t>
      </w:r>
      <w:r w:rsidR="004B4807">
        <w:rPr>
          <w:rFonts w:asciiTheme="minorHAnsi" w:hAnsiTheme="minorHAnsi"/>
        </w:rPr>
        <w:t xml:space="preserve">. </w:t>
      </w:r>
    </w:p>
    <w:p w:rsidR="002C1F9D" w:rsidRPr="00EF1502" w:rsidRDefault="002C1F9D" w:rsidP="00EF1502">
      <w:pPr>
        <w:pStyle w:val="Default"/>
        <w:pageBreakBefore/>
        <w:spacing w:line="276" w:lineRule="auto"/>
        <w:jc w:val="both"/>
        <w:rPr>
          <w:rFonts w:asciiTheme="minorHAnsi" w:hAnsiTheme="minorHAnsi"/>
        </w:rPr>
      </w:pPr>
      <w:r w:rsidRPr="002C1F9D">
        <w:rPr>
          <w:rFonts w:asciiTheme="minorHAnsi" w:hAnsiTheme="minorHAnsi"/>
          <w:i/>
          <w:iCs/>
          <w:color w:val="2E74B5" w:themeColor="accent1" w:themeShade="BF"/>
        </w:rPr>
        <w:lastRenderedPageBreak/>
        <w:t>Niezbędna wiedza, umiejętności i postawy powiązane z tą kompetencją</w:t>
      </w:r>
      <w:r>
        <w:rPr>
          <w:rFonts w:asciiTheme="minorHAnsi" w:hAnsiTheme="minorHAnsi"/>
          <w:i/>
          <w:iCs/>
          <w:color w:val="2E74B5" w:themeColor="accent1" w:themeShade="BF"/>
        </w:rPr>
        <w:t>:</w:t>
      </w:r>
      <w:r w:rsidRPr="002C1F9D">
        <w:rPr>
          <w:rFonts w:asciiTheme="minorHAnsi" w:hAnsiTheme="minorHAnsi"/>
          <w:i/>
          <w:iCs/>
          <w:color w:val="2E74B5" w:themeColor="accent1" w:themeShade="BF"/>
        </w:rPr>
        <w:t xml:space="preserve"> </w:t>
      </w:r>
      <w:r>
        <w:rPr>
          <w:rFonts w:asciiTheme="minorHAnsi" w:hAnsiTheme="minorHAnsi"/>
        </w:rPr>
        <w:t>k</w:t>
      </w:r>
      <w:r w:rsidRPr="002C1F9D">
        <w:rPr>
          <w:rFonts w:asciiTheme="minorHAnsi" w:hAnsiTheme="minorHAnsi"/>
        </w:rPr>
        <w:t xml:space="preserve">onieczna wiedza w dziedzinie matematyki obejmuje solidną umiejętność liczenia, znajomość miar i struktur, podstawowych operacji i sposobów prezentacji matematycznej, rozumienie terminów i pojęć matematycznych, a także świadomość pytań, na które matematyka może dać odpowiedź. </w:t>
      </w:r>
      <w:r w:rsidR="00EF1502">
        <w:rPr>
          <w:rFonts w:asciiTheme="minorHAnsi" w:hAnsiTheme="minorHAnsi"/>
        </w:rPr>
        <w:t xml:space="preserve"> Osoba powinna posiadać umiejętności podstawowych zasad i procesów matematycznych w codziennych sytuacjach (np. umiejętności finansowe) a także śledzenia i oceniania ciągów argumentów.</w:t>
      </w:r>
    </w:p>
    <w:p w:rsidR="002C1F9D" w:rsidRPr="002C1F9D" w:rsidRDefault="002C1F9D" w:rsidP="002C1F9D">
      <w:pPr>
        <w:pStyle w:val="Default"/>
        <w:spacing w:line="276" w:lineRule="auto"/>
        <w:jc w:val="both"/>
        <w:rPr>
          <w:rFonts w:asciiTheme="minorHAnsi" w:hAnsiTheme="minorHAnsi"/>
          <w:color w:val="auto"/>
        </w:rPr>
      </w:pPr>
      <w:r w:rsidRPr="002C1F9D">
        <w:rPr>
          <w:rFonts w:asciiTheme="minorHAnsi" w:hAnsiTheme="minorHAnsi"/>
          <w:color w:val="auto"/>
        </w:rPr>
        <w:t xml:space="preserve">Pozytywna postawa w matematyce opiera się na szacunku dla prawdy oraz chęci szukania przyczyn </w:t>
      </w:r>
      <w:r w:rsidR="00964424">
        <w:rPr>
          <w:rFonts w:asciiTheme="minorHAnsi" w:hAnsiTheme="minorHAnsi"/>
          <w:color w:val="auto"/>
        </w:rPr>
        <w:t>i oceniania ich zasadności. W przyrodzie, u</w:t>
      </w:r>
      <w:r w:rsidRPr="002C1F9D">
        <w:rPr>
          <w:rFonts w:asciiTheme="minorHAnsi" w:hAnsiTheme="minorHAnsi"/>
          <w:color w:val="auto"/>
        </w:rPr>
        <w:t xml:space="preserve">miejętności obejmują rozumienie nauki jako procesu badania przyrody za pomocą kontrolowanych eksperymentów, zdolność wykorzystywania narzędzi i urządzeń technologicznych oraz danych naukowych i zdolność posługiwania się nimi do osiągnięcia celu bądź podjęcia decyzji lub wyciągnięcia wniosku na podstawie dowodów, a także gotowość do rezygnacji z własnych przekonań, jeżeli są one sprzeczne z nowymi odkryciami naukowymi. Osoby powinny również być w stanie rozpoznać niezbędne cechy postępowania naukowego oraz posiadać zdolność wyrażania wniosków i sposobów rozumowania, które do tych wniosków doprowadziły. </w:t>
      </w:r>
    </w:p>
    <w:p w:rsidR="0028408A" w:rsidRPr="001E2D66" w:rsidRDefault="002C1F9D" w:rsidP="00964424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 w:rsidRPr="002C1F9D">
        <w:rPr>
          <w:sz w:val="24"/>
          <w:szCs w:val="24"/>
        </w:rPr>
        <w:t>Kompetencje w tym obszarze obejmują postawy krytycznego rozumienia i ciekawości, poszanowanie kwestii etycznych oraz wspieranie zarówno bezpieczeństwa, jak i trwałości środowiska naturalnego, w szczególności w odniesieniu do postępu naukowo-technologicznego w kontekście danej osoby, jej rodziny i społeczn</w:t>
      </w:r>
      <w:r w:rsidR="007551CC">
        <w:rPr>
          <w:sz w:val="24"/>
          <w:szCs w:val="24"/>
        </w:rPr>
        <w:t>ości oraz zagadnień globalnych).</w:t>
      </w:r>
    </w:p>
    <w:p w:rsidR="002C1F9D" w:rsidRPr="00964424" w:rsidRDefault="00AC7496" w:rsidP="00964424">
      <w:pPr>
        <w:autoSpaceDE w:val="0"/>
        <w:autoSpaceDN w:val="0"/>
        <w:adjustRightInd w:val="0"/>
        <w:spacing w:after="0"/>
        <w:jc w:val="both"/>
        <w:rPr>
          <w:rFonts w:cs="Verdana"/>
          <w:b/>
          <w:sz w:val="24"/>
          <w:szCs w:val="24"/>
        </w:rPr>
      </w:pPr>
      <w:r w:rsidRPr="00A45ACF">
        <w:rPr>
          <w:rFonts w:cs="Verdana"/>
          <w:b/>
          <w:sz w:val="24"/>
          <w:szCs w:val="24"/>
          <w:u w:val="single"/>
        </w:rPr>
        <w:t>TIK</w:t>
      </w:r>
      <w:r w:rsidR="00964424">
        <w:rPr>
          <w:rFonts w:cs="Verdana"/>
          <w:b/>
          <w:sz w:val="24"/>
          <w:szCs w:val="24"/>
        </w:rPr>
        <w:t xml:space="preserve"> (</w:t>
      </w:r>
      <w:r w:rsidR="00964424">
        <w:rPr>
          <w:sz w:val="24"/>
          <w:szCs w:val="24"/>
        </w:rPr>
        <w:t>k</w:t>
      </w:r>
      <w:r w:rsidR="002C1F9D" w:rsidRPr="002C1F9D">
        <w:rPr>
          <w:sz w:val="24"/>
          <w:szCs w:val="24"/>
        </w:rPr>
        <w:t>ompetencje cyfrowe obejmują pewne, krytyczne i odpowiedzialne korzystanie z technologii cyfrowych i interesowanie się nimi do celów uczenia się, pracy i udziału w społeczeństwie. Obejmują one umiejętność korzystania z informacji i danych, porozumiewanie się i współpra</w:t>
      </w:r>
      <w:r w:rsidR="007551CC">
        <w:rPr>
          <w:sz w:val="24"/>
          <w:szCs w:val="24"/>
        </w:rPr>
        <w:t>cę, tworzenie treści cyfrowych, w tym programowanie</w:t>
      </w:r>
      <w:r w:rsidR="002C1F9D" w:rsidRPr="002C1F9D">
        <w:rPr>
          <w:sz w:val="24"/>
          <w:szCs w:val="24"/>
        </w:rPr>
        <w:t xml:space="preserve">, </w:t>
      </w:r>
      <w:r w:rsidR="007551CC">
        <w:rPr>
          <w:sz w:val="24"/>
          <w:szCs w:val="24"/>
        </w:rPr>
        <w:t xml:space="preserve">o bezpieczeństwo, </w:t>
      </w:r>
      <w:r w:rsidR="002C1F9D" w:rsidRPr="002C1F9D">
        <w:rPr>
          <w:sz w:val="24"/>
          <w:szCs w:val="24"/>
        </w:rPr>
        <w:t>w tym komfort cyfrowy i kompetencje związane z bezpieczeństwem cybernetycz</w:t>
      </w:r>
      <w:r w:rsidR="007551CC">
        <w:rPr>
          <w:sz w:val="24"/>
          <w:szCs w:val="24"/>
        </w:rPr>
        <w:t>nym,</w:t>
      </w:r>
      <w:r w:rsidR="002C1F9D" w:rsidRPr="002C1F9D">
        <w:rPr>
          <w:sz w:val="24"/>
          <w:szCs w:val="24"/>
        </w:rPr>
        <w:t xml:space="preserve"> i rozwiązywanie problemów. </w:t>
      </w:r>
    </w:p>
    <w:p w:rsidR="002C1F9D" w:rsidRPr="00964424" w:rsidRDefault="002C1F9D" w:rsidP="002C1F9D">
      <w:pPr>
        <w:pStyle w:val="Default"/>
        <w:spacing w:line="276" w:lineRule="auto"/>
        <w:jc w:val="both"/>
        <w:rPr>
          <w:rFonts w:asciiTheme="minorHAnsi" w:hAnsiTheme="minorHAnsi"/>
          <w:color w:val="2E74B5" w:themeColor="accent1" w:themeShade="BF"/>
        </w:rPr>
      </w:pPr>
      <w:r w:rsidRPr="00964424">
        <w:rPr>
          <w:rFonts w:asciiTheme="minorHAnsi" w:hAnsiTheme="minorHAnsi"/>
          <w:i/>
          <w:iCs/>
          <w:color w:val="2E74B5" w:themeColor="accent1" w:themeShade="BF"/>
        </w:rPr>
        <w:t>Niezbędna wiedza, umiejętności i pos</w:t>
      </w:r>
      <w:r w:rsidR="00964424">
        <w:rPr>
          <w:rFonts w:asciiTheme="minorHAnsi" w:hAnsiTheme="minorHAnsi"/>
          <w:i/>
          <w:iCs/>
          <w:color w:val="2E74B5" w:themeColor="accent1" w:themeShade="BF"/>
        </w:rPr>
        <w:t xml:space="preserve">tawy powiązane z tą kompetencją: </w:t>
      </w:r>
      <w:r w:rsidR="00964424" w:rsidRPr="00964424">
        <w:rPr>
          <w:rFonts w:asciiTheme="minorHAnsi" w:hAnsiTheme="minorHAnsi"/>
          <w:iCs/>
          <w:color w:val="auto"/>
        </w:rPr>
        <w:t>o</w:t>
      </w:r>
      <w:r w:rsidRPr="00964424">
        <w:rPr>
          <w:rFonts w:asciiTheme="minorHAnsi" w:hAnsiTheme="minorHAnsi"/>
          <w:color w:val="auto"/>
        </w:rPr>
        <w:t>soby</w:t>
      </w:r>
      <w:r w:rsidRPr="002C1F9D">
        <w:rPr>
          <w:rFonts w:asciiTheme="minorHAnsi" w:hAnsiTheme="minorHAnsi"/>
        </w:rPr>
        <w:t xml:space="preserve"> powinny rozumieć, w taki sposób technologie cyfrowe mogą pomagać w porozumiewaniu się, kreatywności i innowacjach oraz mieć świadomość związanych z nimi możliwości, ograniczeń, skutków i zagrożeń. Powinny rozumieć ogólne zasady, mechanizmy i logikę leżące u podstaw ewoluujących technologii informatycznych oraz znać podstawowe funkcje i korzystać z różnych urządzeń, oprogramowania i sieci. Osoby powinny reprezentować krytyczne podejście do trafności, wiarygodności i wpływu informacji i danych udostępnianych drogą cyfrową oraz znać prawne i etyczne zasady związane z korzystaniem z technologii cyfrowych. </w:t>
      </w:r>
    </w:p>
    <w:p w:rsidR="00F75320" w:rsidRDefault="002C1F9D" w:rsidP="002C1F9D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2C1F9D">
        <w:rPr>
          <w:rFonts w:asciiTheme="minorHAnsi" w:hAnsiTheme="minorHAnsi"/>
        </w:rPr>
        <w:t xml:space="preserve">Osoby powinny być w stanie korzystać z technologii cyfrowych w celu wsparcia ich aktywnej </w:t>
      </w:r>
    </w:p>
    <w:p w:rsidR="00F75320" w:rsidRDefault="00F75320" w:rsidP="002C1F9D">
      <w:pPr>
        <w:pStyle w:val="Default"/>
        <w:spacing w:line="276" w:lineRule="auto"/>
        <w:jc w:val="both"/>
        <w:rPr>
          <w:rFonts w:asciiTheme="minorHAnsi" w:hAnsiTheme="minorHAnsi"/>
        </w:rPr>
      </w:pPr>
    </w:p>
    <w:p w:rsidR="002C1F9D" w:rsidRPr="002C1F9D" w:rsidRDefault="002C1F9D" w:rsidP="003C36DC">
      <w:pPr>
        <w:pStyle w:val="Default"/>
        <w:spacing w:line="276" w:lineRule="auto"/>
        <w:jc w:val="both"/>
        <w:rPr>
          <w:rFonts w:asciiTheme="minorHAnsi" w:hAnsiTheme="minorHAnsi"/>
          <w:color w:val="auto"/>
        </w:rPr>
      </w:pPr>
      <w:r w:rsidRPr="002C1F9D">
        <w:rPr>
          <w:rFonts w:asciiTheme="minorHAnsi" w:hAnsiTheme="minorHAnsi"/>
        </w:rPr>
        <w:t xml:space="preserve">postawy obywatelskiej i włączenia społecznego, współpracy z innymi osobami oraz </w:t>
      </w:r>
      <w:r w:rsidRPr="002C1F9D">
        <w:rPr>
          <w:rFonts w:asciiTheme="minorHAnsi" w:hAnsiTheme="minorHAnsi"/>
          <w:color w:val="auto"/>
        </w:rPr>
        <w:t>kreatywności w realizacji celów osobi</w:t>
      </w:r>
      <w:r w:rsidR="00964424">
        <w:rPr>
          <w:rFonts w:asciiTheme="minorHAnsi" w:hAnsiTheme="minorHAnsi"/>
          <w:color w:val="auto"/>
        </w:rPr>
        <w:t>stych, społecznych</w:t>
      </w:r>
      <w:r w:rsidRPr="002C1F9D">
        <w:rPr>
          <w:rFonts w:asciiTheme="minorHAnsi" w:hAnsiTheme="minorHAnsi"/>
          <w:color w:val="auto"/>
        </w:rPr>
        <w:t>. Umiejętności obejmują zdolność korzystania z treści cyfrowych, uzyskiwania do nich dostępu, ich filtrowania,</w:t>
      </w:r>
      <w:r w:rsidR="00964424">
        <w:rPr>
          <w:rFonts w:asciiTheme="minorHAnsi" w:hAnsiTheme="minorHAnsi"/>
          <w:color w:val="auto"/>
        </w:rPr>
        <w:t xml:space="preserve"> oceny</w:t>
      </w:r>
      <w:r w:rsidRPr="002C1F9D">
        <w:rPr>
          <w:rFonts w:asciiTheme="minorHAnsi" w:hAnsiTheme="minorHAnsi"/>
          <w:color w:val="auto"/>
        </w:rPr>
        <w:t xml:space="preserve"> i udostępniania. Osoby powinny być w stanie zarządzać informacjami, treściami, danymi i tożsamościami cyfrowymi oraz je chronić, a także rozpoznawać i skutecznie korzystać z oprogramowania, urządzeń, sztucznej inteligencji lub robotów. </w:t>
      </w:r>
    </w:p>
    <w:p w:rsidR="0018441B" w:rsidRDefault="002C1F9D" w:rsidP="002C1F9D">
      <w:pPr>
        <w:pStyle w:val="Default"/>
        <w:spacing w:line="276" w:lineRule="auto"/>
        <w:jc w:val="both"/>
        <w:rPr>
          <w:rFonts w:asciiTheme="minorHAnsi" w:hAnsiTheme="minorHAnsi"/>
          <w:color w:val="auto"/>
        </w:rPr>
      </w:pPr>
      <w:r w:rsidRPr="002C1F9D">
        <w:rPr>
          <w:rFonts w:asciiTheme="minorHAnsi" w:hAnsiTheme="minorHAnsi"/>
          <w:color w:val="auto"/>
        </w:rPr>
        <w:t>Korzystanie z technologii i treści cyfrowych wymaga refleksyjnego i krytycznego, a zarazem pełnego ciekawości, otwartego i perspektywicznego nastawienia do ich rozwoju. Wymaga również etycznego, bezpiecznego i odpowiedzialnego podejścia</w:t>
      </w:r>
      <w:r w:rsidR="0018441B">
        <w:rPr>
          <w:rFonts w:asciiTheme="minorHAnsi" w:hAnsiTheme="minorHAnsi"/>
          <w:color w:val="auto"/>
        </w:rPr>
        <w:t xml:space="preserve"> do korzystania z tych narzędzi).</w:t>
      </w:r>
    </w:p>
    <w:p w:rsidR="002C1F9D" w:rsidRPr="002C1F9D" w:rsidRDefault="002C1F9D" w:rsidP="002C1F9D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A45ACF">
        <w:rPr>
          <w:rFonts w:asciiTheme="minorHAnsi" w:hAnsiTheme="minorHAnsi"/>
          <w:color w:val="auto"/>
          <w:u w:val="single"/>
        </w:rPr>
        <w:t xml:space="preserve"> </w:t>
      </w:r>
      <w:r w:rsidR="00A45ACF" w:rsidRPr="00A45ACF">
        <w:rPr>
          <w:rFonts w:asciiTheme="minorHAnsi" w:hAnsiTheme="minorHAnsi" w:cs="Verdana"/>
          <w:b/>
          <w:u w:val="single"/>
        </w:rPr>
        <w:t xml:space="preserve"> P</w:t>
      </w:r>
      <w:r w:rsidR="00AC7496" w:rsidRPr="00A45ACF">
        <w:rPr>
          <w:rFonts w:asciiTheme="minorHAnsi" w:hAnsiTheme="minorHAnsi" w:cs="Verdana"/>
          <w:b/>
          <w:u w:val="single"/>
        </w:rPr>
        <w:t>rzedsiębiorczości</w:t>
      </w:r>
      <w:r w:rsidR="0018441B">
        <w:rPr>
          <w:rFonts w:asciiTheme="minorHAnsi" w:hAnsiTheme="minorHAnsi" w:cs="Verdana"/>
        </w:rPr>
        <w:t xml:space="preserve"> (k</w:t>
      </w:r>
      <w:r w:rsidRPr="002C1F9D">
        <w:rPr>
          <w:rFonts w:asciiTheme="minorHAnsi" w:hAnsiTheme="minorHAnsi"/>
        </w:rPr>
        <w:t xml:space="preserve">ompetencje w zakresie przedsiębiorczości odnoszą się do zdolności wykorzystywania szans i pomysłów oraz przekształcania ich w wartość dla innych osób. Przedsiębiorczość opiera się na kreatywności, myśleniu krytycznym i rozwiązywaniu problemów, podejmowaniu inicjatywy, wytrwałości i zdolności do wspólnego działania na rzecz planowania i zarządzania projektami, mającymi wartość kulturalną, społeczną lub komercyjną. </w:t>
      </w:r>
    </w:p>
    <w:p w:rsidR="002C1F9D" w:rsidRPr="0018441B" w:rsidRDefault="002C1F9D" w:rsidP="002C1F9D">
      <w:pPr>
        <w:pStyle w:val="Default"/>
        <w:spacing w:line="276" w:lineRule="auto"/>
        <w:jc w:val="both"/>
        <w:rPr>
          <w:rFonts w:asciiTheme="minorHAnsi" w:hAnsiTheme="minorHAnsi"/>
          <w:color w:val="2E74B5" w:themeColor="accent1" w:themeShade="BF"/>
        </w:rPr>
      </w:pPr>
      <w:r w:rsidRPr="0018441B">
        <w:rPr>
          <w:rFonts w:asciiTheme="minorHAnsi" w:hAnsiTheme="minorHAnsi"/>
          <w:i/>
          <w:iCs/>
          <w:color w:val="2E74B5" w:themeColor="accent1" w:themeShade="BF"/>
        </w:rPr>
        <w:t xml:space="preserve">Niezbędna wiedza, umiejętności i postawy powiązane z tą kompetencją </w:t>
      </w:r>
    </w:p>
    <w:p w:rsidR="002C1F9D" w:rsidRPr="002C1F9D" w:rsidRDefault="002C1F9D" w:rsidP="002C1F9D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2C1F9D">
        <w:rPr>
          <w:rFonts w:asciiTheme="minorHAnsi" w:hAnsiTheme="minorHAnsi"/>
        </w:rPr>
        <w:t xml:space="preserve">Kompetencje w zakresie przedsiębiorczości wymagają świadomości istnienia różnych kontekstów i możliwości przekształcenia pomysłów na czyny w sferze osobistej, społecznej i zawodowej, a także rozumienia procesu ich powstawania. Osoby powinny znać i rozumieć podejścia do planowania i zarządzania projektami, obejmujące zarówno procesy, jak i zasoby. Powinny rozumieć procesy ekonomiczne oraz szanse i wyzwania społeczne i gospodarcze, stojące przed pracodawcą, organizacją lub społeczeństwem. Powinny również znać zasady etyczne, a także mieć świadomość własnych atutów i słabości. </w:t>
      </w:r>
    </w:p>
    <w:p w:rsidR="002C1F9D" w:rsidRPr="007551CC" w:rsidRDefault="002C1F9D" w:rsidP="007551CC">
      <w:pPr>
        <w:pStyle w:val="Default"/>
        <w:spacing w:line="276" w:lineRule="auto"/>
        <w:jc w:val="both"/>
        <w:rPr>
          <w:rFonts w:asciiTheme="minorHAnsi" w:hAnsiTheme="minorHAnsi" w:cs="Arial"/>
        </w:rPr>
      </w:pPr>
      <w:r w:rsidRPr="002C1F9D">
        <w:rPr>
          <w:rFonts w:asciiTheme="minorHAnsi" w:hAnsiTheme="minorHAnsi"/>
        </w:rPr>
        <w:t>Umiejętności w zakresie przedsiębiorczości opierają się na kreatywności, obejmującej wyobraźnię, myślenie strategiczne i rozwiązywan</w:t>
      </w:r>
      <w:r w:rsidR="0018441B">
        <w:rPr>
          <w:rFonts w:asciiTheme="minorHAnsi" w:hAnsiTheme="minorHAnsi"/>
        </w:rPr>
        <w:t>ie problemów, a także krytyczną</w:t>
      </w:r>
      <w:r w:rsidR="00EF1502">
        <w:rPr>
          <w:rFonts w:asciiTheme="minorHAnsi" w:hAnsiTheme="minorHAnsi"/>
        </w:rPr>
        <w:t xml:space="preserve"> i konstruktywna refleksję.</w:t>
      </w:r>
      <w:r w:rsidR="00EB4D01">
        <w:rPr>
          <w:rFonts w:asciiTheme="minorHAnsi" w:hAnsiTheme="minorHAnsi"/>
        </w:rPr>
        <w:t xml:space="preserve">  </w:t>
      </w:r>
      <w:r w:rsidR="00EB4D01" w:rsidRPr="00C21A2F">
        <w:rPr>
          <w:rFonts w:asciiTheme="minorHAnsi" w:hAnsiTheme="minorHAnsi"/>
        </w:rPr>
        <w:t>Obejmują one</w:t>
      </w:r>
      <w:r w:rsidR="00EB4D01">
        <w:rPr>
          <w:rFonts w:asciiTheme="minorHAnsi" w:hAnsiTheme="minorHAnsi"/>
        </w:rPr>
        <w:t xml:space="preserve"> zdolność pracy samodzielnej i zespołowej oraz elementarne zasady działalności gospodarczej: umiejętność podejmowania decyzji finansowych związanych z kosztem i wartością. Kluczowe znaczenie ma zdolność </w:t>
      </w:r>
      <w:r w:rsidR="00C21A2F">
        <w:rPr>
          <w:rFonts w:asciiTheme="minorHAnsi" w:hAnsiTheme="minorHAnsi"/>
        </w:rPr>
        <w:t>porozumie</w:t>
      </w:r>
      <w:r w:rsidR="00EB4D01">
        <w:rPr>
          <w:rFonts w:asciiTheme="minorHAnsi" w:hAnsiTheme="minorHAnsi"/>
        </w:rPr>
        <w:t>wania się</w:t>
      </w:r>
      <w:r w:rsidR="00C21A2F">
        <w:rPr>
          <w:rFonts w:asciiTheme="minorHAnsi" w:hAnsiTheme="minorHAnsi"/>
        </w:rPr>
        <w:t xml:space="preserve"> i negocjowania z innymi osobami a także radzenia sobie z niepewnością, dwuznacznością jako elementami procesu podejmowania świadomych decyzji.</w:t>
      </w:r>
    </w:p>
    <w:p w:rsidR="002B375B" w:rsidRDefault="002C1F9D" w:rsidP="002C1F9D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2C1F9D">
        <w:rPr>
          <w:sz w:val="24"/>
          <w:szCs w:val="24"/>
        </w:rPr>
        <w:t xml:space="preserve">Postawa przedsiębiorcza charakteryzuje się poczuciem inicjatywy i działania, </w:t>
      </w:r>
      <w:proofErr w:type="spellStart"/>
      <w:r w:rsidRPr="002C1F9D">
        <w:rPr>
          <w:sz w:val="24"/>
          <w:szCs w:val="24"/>
        </w:rPr>
        <w:t>proaktywnością</w:t>
      </w:r>
      <w:proofErr w:type="spellEnd"/>
      <w:r w:rsidRPr="002C1F9D">
        <w:rPr>
          <w:sz w:val="24"/>
          <w:szCs w:val="24"/>
        </w:rPr>
        <w:t>, otwartością na przyszłość, odwagą i wytrwałością w dążeniu do celów. Zawiera się w niej pragnienie motywowania innych osób i oceny ich pomysłów, odczuwanie empatii i troski o innych ludzi i świat, a także przyjmowanie odpowiedzialności i po</w:t>
      </w:r>
      <w:r w:rsidR="00BB068E">
        <w:rPr>
          <w:sz w:val="24"/>
          <w:szCs w:val="24"/>
        </w:rPr>
        <w:t>staw etycznych w całym procesie)</w:t>
      </w:r>
      <w:r w:rsidR="00C21A2F">
        <w:rPr>
          <w:sz w:val="24"/>
          <w:szCs w:val="24"/>
        </w:rPr>
        <w:t>.</w:t>
      </w:r>
    </w:p>
    <w:p w:rsidR="00C21A2F" w:rsidRPr="002C1F9D" w:rsidRDefault="00C21A2F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</w:p>
    <w:p w:rsidR="004B6179" w:rsidRPr="002C1F9D" w:rsidRDefault="004B6179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 w:rsidRPr="00A45ACF">
        <w:rPr>
          <w:rFonts w:cs="Verdana"/>
          <w:b/>
          <w:sz w:val="24"/>
          <w:szCs w:val="24"/>
        </w:rPr>
        <w:t>Wytyczne do scenariuszy</w:t>
      </w:r>
      <w:r w:rsidRPr="002C1F9D">
        <w:rPr>
          <w:rFonts w:cs="Verdana"/>
          <w:sz w:val="24"/>
          <w:szCs w:val="24"/>
        </w:rPr>
        <w:t xml:space="preserve"> zn</w:t>
      </w:r>
      <w:r w:rsidR="007551CC">
        <w:rPr>
          <w:rFonts w:cs="Verdana"/>
          <w:sz w:val="24"/>
          <w:szCs w:val="24"/>
        </w:rPr>
        <w:t>ajdują się w załączniku: „wytyczne do scenariuszy”</w:t>
      </w:r>
      <w:r w:rsidRPr="002C1F9D">
        <w:rPr>
          <w:rFonts w:cs="Verdana"/>
          <w:sz w:val="24"/>
          <w:szCs w:val="24"/>
        </w:rPr>
        <w:t xml:space="preserve">. Oprócz tego warto pamiętać, aby w scenariuszach znalazły się karty pracy, wykaz materiałów (pomocy dydaktycznych),  wskazania metodyczne oraz wszelkie inne informacje służące dobrej realizacji zajęć. </w:t>
      </w:r>
    </w:p>
    <w:p w:rsidR="004B6179" w:rsidRDefault="004B6179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 w:rsidRPr="002C1F9D">
        <w:rPr>
          <w:rFonts w:cs="Verdana"/>
          <w:sz w:val="24"/>
          <w:szCs w:val="24"/>
        </w:rPr>
        <w:t xml:space="preserve">Scenariusze będą oceniane przez zespół metodyków. Najwyżej ocenione zostaną przyjęte do realizacji. </w:t>
      </w:r>
      <w:r w:rsidR="00F55FBE" w:rsidRPr="002C1F9D">
        <w:rPr>
          <w:rFonts w:cs="Verdana"/>
          <w:sz w:val="24"/>
          <w:szCs w:val="24"/>
        </w:rPr>
        <w:t xml:space="preserve">Koszt jednego scenariusza przyjętego do realizacji, to 5000,00 (pięć tysięcy złotych) brutto. </w:t>
      </w:r>
    </w:p>
    <w:p w:rsidR="00EB4D01" w:rsidRDefault="0028408A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 w:rsidRPr="0090768E">
        <w:rPr>
          <w:rFonts w:cs="Verdana"/>
          <w:b/>
          <w:sz w:val="24"/>
          <w:szCs w:val="24"/>
        </w:rPr>
        <w:t>Harmonogram:</w:t>
      </w:r>
      <w:r>
        <w:rPr>
          <w:rFonts w:cs="Verdana"/>
          <w:sz w:val="24"/>
          <w:szCs w:val="24"/>
        </w:rPr>
        <w:t xml:space="preserve"> do 18 października </w:t>
      </w:r>
      <w:r w:rsidR="0090768E">
        <w:rPr>
          <w:rFonts w:cs="Verdana"/>
          <w:sz w:val="24"/>
          <w:szCs w:val="24"/>
        </w:rPr>
        <w:t xml:space="preserve">2018 – </w:t>
      </w:r>
      <w:r>
        <w:rPr>
          <w:rFonts w:cs="Verdana"/>
          <w:sz w:val="24"/>
          <w:szCs w:val="24"/>
        </w:rPr>
        <w:t>konspekty</w:t>
      </w:r>
      <w:r w:rsidR="0090768E">
        <w:rPr>
          <w:rFonts w:cs="Verdana"/>
          <w:sz w:val="24"/>
          <w:szCs w:val="24"/>
        </w:rPr>
        <w:t xml:space="preserve"> scenariuszy</w:t>
      </w:r>
      <w:r w:rsidR="00E32E98">
        <w:rPr>
          <w:rFonts w:cs="Verdana"/>
          <w:sz w:val="24"/>
          <w:szCs w:val="24"/>
        </w:rPr>
        <w:t>*</w:t>
      </w:r>
    </w:p>
    <w:p w:rsidR="0028408A" w:rsidRDefault="0028408A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Ogłoszenie wyników: 25 października</w:t>
      </w:r>
      <w:r w:rsidR="0090768E">
        <w:rPr>
          <w:rFonts w:cs="Verdana"/>
          <w:sz w:val="24"/>
          <w:szCs w:val="24"/>
        </w:rPr>
        <w:t xml:space="preserve"> 2018</w:t>
      </w:r>
    </w:p>
    <w:p w:rsidR="0028408A" w:rsidRDefault="0028408A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Opracowanie scenariuszy wersja końcowa 30 li</w:t>
      </w:r>
      <w:r w:rsidR="0090768E">
        <w:rPr>
          <w:rFonts w:cs="Verdana"/>
          <w:sz w:val="24"/>
          <w:szCs w:val="24"/>
        </w:rPr>
        <w:t>stopada 2018</w:t>
      </w:r>
    </w:p>
    <w:p w:rsidR="00E32E98" w:rsidRDefault="00E32E98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</w:p>
    <w:p w:rsidR="00E32E98" w:rsidRDefault="00E32E98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</w:p>
    <w:p w:rsidR="00E32E98" w:rsidRDefault="00E32E98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 xml:space="preserve">* przy tworzeniu konspektu scenariusza można skorzystać z dobrych przykładów: </w:t>
      </w:r>
    </w:p>
    <w:p w:rsidR="00E32E98" w:rsidRDefault="0011742B" w:rsidP="002C1F9D">
      <w:pPr>
        <w:autoSpaceDE w:val="0"/>
        <w:autoSpaceDN w:val="0"/>
        <w:adjustRightInd w:val="0"/>
        <w:spacing w:after="0"/>
        <w:jc w:val="both"/>
        <w:rPr>
          <w:rFonts w:cs="Verdana"/>
          <w:sz w:val="24"/>
          <w:szCs w:val="24"/>
        </w:rPr>
      </w:pPr>
      <w:hyperlink r:id="rId9" w:history="1">
        <w:r w:rsidR="00D05D93" w:rsidRPr="00E523DF">
          <w:rPr>
            <w:rStyle w:val="Hipercze"/>
            <w:rFonts w:cs="Verdana"/>
            <w:sz w:val="24"/>
            <w:szCs w:val="24"/>
          </w:rPr>
          <w:t>https://malaszkola.pl/scenariusze-projektow-edukacyjnych/materialy-do-pobrania-scenariusze</w:t>
        </w:r>
      </w:hyperlink>
      <w:r w:rsidR="00D05D93">
        <w:rPr>
          <w:rFonts w:cs="Verdana"/>
          <w:sz w:val="24"/>
          <w:szCs w:val="24"/>
        </w:rPr>
        <w:t xml:space="preserve"> </w:t>
      </w:r>
      <w:bookmarkStart w:id="0" w:name="_GoBack"/>
      <w:bookmarkEnd w:id="0"/>
    </w:p>
    <w:sectPr w:rsidR="00E32E9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42B" w:rsidRDefault="0011742B" w:rsidP="001410B1">
      <w:pPr>
        <w:spacing w:before="0" w:after="0" w:line="240" w:lineRule="auto"/>
      </w:pPr>
      <w:r>
        <w:separator/>
      </w:r>
    </w:p>
  </w:endnote>
  <w:endnote w:type="continuationSeparator" w:id="0">
    <w:p w:rsidR="0011742B" w:rsidRDefault="0011742B" w:rsidP="001410B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42B" w:rsidRDefault="0011742B" w:rsidP="001410B1">
      <w:pPr>
        <w:spacing w:before="0" w:after="0" w:line="240" w:lineRule="auto"/>
      </w:pPr>
      <w:r>
        <w:separator/>
      </w:r>
    </w:p>
  </w:footnote>
  <w:footnote w:type="continuationSeparator" w:id="0">
    <w:p w:rsidR="0011742B" w:rsidRDefault="0011742B" w:rsidP="001410B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B1" w:rsidRDefault="001410B1" w:rsidP="00F75320">
    <w:pPr>
      <w:pStyle w:val="Nagwek2"/>
    </w:pPr>
    <w:r>
      <w:rPr>
        <w:noProof/>
        <w:lang w:eastAsia="pl-PL"/>
      </w:rPr>
      <w:drawing>
        <wp:inline distT="0" distB="0" distL="0" distR="0" wp14:anchorId="27C0C6F8" wp14:editId="299DF023">
          <wp:extent cx="5753100" cy="742950"/>
          <wp:effectExtent l="0" t="0" r="0" b="0"/>
          <wp:docPr id="2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75B"/>
    <w:multiLevelType w:val="multilevel"/>
    <w:tmpl w:val="37F89ED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32E"/>
    <w:rsid w:val="00043846"/>
    <w:rsid w:val="0011742B"/>
    <w:rsid w:val="001410B1"/>
    <w:rsid w:val="0018441B"/>
    <w:rsid w:val="001E2D66"/>
    <w:rsid w:val="0028408A"/>
    <w:rsid w:val="002B375B"/>
    <w:rsid w:val="002C1F9D"/>
    <w:rsid w:val="002E2BEE"/>
    <w:rsid w:val="003C36DC"/>
    <w:rsid w:val="004B4807"/>
    <w:rsid w:val="004B6179"/>
    <w:rsid w:val="0065078C"/>
    <w:rsid w:val="006F4AA8"/>
    <w:rsid w:val="007551CC"/>
    <w:rsid w:val="008B2991"/>
    <w:rsid w:val="0090768E"/>
    <w:rsid w:val="00964424"/>
    <w:rsid w:val="00A343E5"/>
    <w:rsid w:val="00A45ACF"/>
    <w:rsid w:val="00AC7496"/>
    <w:rsid w:val="00AE505E"/>
    <w:rsid w:val="00BB068E"/>
    <w:rsid w:val="00BD45A2"/>
    <w:rsid w:val="00C21A2F"/>
    <w:rsid w:val="00C4632E"/>
    <w:rsid w:val="00D05D93"/>
    <w:rsid w:val="00E32E98"/>
    <w:rsid w:val="00EB4D01"/>
    <w:rsid w:val="00EF1502"/>
    <w:rsid w:val="00F4624A"/>
    <w:rsid w:val="00F55FBE"/>
    <w:rsid w:val="00F616DC"/>
    <w:rsid w:val="00F62056"/>
    <w:rsid w:val="00F7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320"/>
  </w:style>
  <w:style w:type="paragraph" w:styleId="Nagwek1">
    <w:name w:val="heading 1"/>
    <w:basedOn w:val="Normalny"/>
    <w:next w:val="Normalny"/>
    <w:link w:val="Nagwek1Znak"/>
    <w:uiPriority w:val="9"/>
    <w:qFormat/>
    <w:rsid w:val="00F75320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5320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5320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5320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5320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5320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5320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532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532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C1F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4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0B1"/>
  </w:style>
  <w:style w:type="paragraph" w:styleId="Stopka">
    <w:name w:val="footer"/>
    <w:basedOn w:val="Normalny"/>
    <w:link w:val="StopkaZnak"/>
    <w:uiPriority w:val="99"/>
    <w:unhideWhenUsed/>
    <w:rsid w:val="0014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10B1"/>
  </w:style>
  <w:style w:type="character" w:customStyle="1" w:styleId="Nagwek1Znak">
    <w:name w:val="Nagłówek 1 Znak"/>
    <w:basedOn w:val="Domylnaczcionkaakapitu"/>
    <w:link w:val="Nagwek1"/>
    <w:uiPriority w:val="9"/>
    <w:rsid w:val="00F75320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F75320"/>
    <w:rPr>
      <w:caps/>
      <w:spacing w:val="15"/>
      <w:shd w:val="clear" w:color="auto" w:fill="DEEAF6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5320"/>
    <w:rPr>
      <w:caps/>
      <w:color w:val="1F4D78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5320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5320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75320"/>
    <w:rPr>
      <w:b/>
      <w:bCs/>
      <w:color w:val="2E74B5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F75320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75320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532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75320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F75320"/>
    <w:rPr>
      <w:b/>
      <w:bCs/>
    </w:rPr>
  </w:style>
  <w:style w:type="character" w:styleId="Uwydatnienie">
    <w:name w:val="Emphasis"/>
    <w:uiPriority w:val="20"/>
    <w:qFormat/>
    <w:rsid w:val="00F75320"/>
    <w:rPr>
      <w:caps/>
      <w:color w:val="1F4D78" w:themeColor="accent1" w:themeShade="7F"/>
      <w:spacing w:val="5"/>
    </w:rPr>
  </w:style>
  <w:style w:type="paragraph" w:styleId="Bezodstpw">
    <w:name w:val="No Spacing"/>
    <w:uiPriority w:val="1"/>
    <w:qFormat/>
    <w:rsid w:val="00F75320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75320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F75320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5320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5320"/>
    <w:rPr>
      <w:color w:val="5B9BD5" w:themeColor="accent1"/>
      <w:sz w:val="24"/>
      <w:szCs w:val="24"/>
    </w:rPr>
  </w:style>
  <w:style w:type="character" w:styleId="Wyrnieniedelikatne">
    <w:name w:val="Subtle Emphasis"/>
    <w:uiPriority w:val="19"/>
    <w:qFormat/>
    <w:rsid w:val="00F75320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F75320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F75320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F75320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F75320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75320"/>
    <w:pPr>
      <w:outlineLvl w:val="9"/>
    </w:pPr>
  </w:style>
  <w:style w:type="paragraph" w:styleId="Akapitzlist">
    <w:name w:val="List Paragraph"/>
    <w:basedOn w:val="Normalny"/>
    <w:uiPriority w:val="34"/>
    <w:qFormat/>
    <w:rsid w:val="00E32E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05D9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6D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36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320"/>
  </w:style>
  <w:style w:type="paragraph" w:styleId="Nagwek1">
    <w:name w:val="heading 1"/>
    <w:basedOn w:val="Normalny"/>
    <w:next w:val="Normalny"/>
    <w:link w:val="Nagwek1Znak"/>
    <w:uiPriority w:val="9"/>
    <w:qFormat/>
    <w:rsid w:val="00F75320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5320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5320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5320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5320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5320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5320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532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532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C1F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4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0B1"/>
  </w:style>
  <w:style w:type="paragraph" w:styleId="Stopka">
    <w:name w:val="footer"/>
    <w:basedOn w:val="Normalny"/>
    <w:link w:val="StopkaZnak"/>
    <w:uiPriority w:val="99"/>
    <w:unhideWhenUsed/>
    <w:rsid w:val="0014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10B1"/>
  </w:style>
  <w:style w:type="character" w:customStyle="1" w:styleId="Nagwek1Znak">
    <w:name w:val="Nagłówek 1 Znak"/>
    <w:basedOn w:val="Domylnaczcionkaakapitu"/>
    <w:link w:val="Nagwek1"/>
    <w:uiPriority w:val="9"/>
    <w:rsid w:val="00F75320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F75320"/>
    <w:rPr>
      <w:caps/>
      <w:spacing w:val="15"/>
      <w:shd w:val="clear" w:color="auto" w:fill="DEEAF6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5320"/>
    <w:rPr>
      <w:caps/>
      <w:color w:val="1F4D78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5320"/>
    <w:rPr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5320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5320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75320"/>
    <w:rPr>
      <w:b/>
      <w:bCs/>
      <w:color w:val="2E74B5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F75320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75320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532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75320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F75320"/>
    <w:rPr>
      <w:b/>
      <w:bCs/>
    </w:rPr>
  </w:style>
  <w:style w:type="character" w:styleId="Uwydatnienie">
    <w:name w:val="Emphasis"/>
    <w:uiPriority w:val="20"/>
    <w:qFormat/>
    <w:rsid w:val="00F75320"/>
    <w:rPr>
      <w:caps/>
      <w:color w:val="1F4D78" w:themeColor="accent1" w:themeShade="7F"/>
      <w:spacing w:val="5"/>
    </w:rPr>
  </w:style>
  <w:style w:type="paragraph" w:styleId="Bezodstpw">
    <w:name w:val="No Spacing"/>
    <w:uiPriority w:val="1"/>
    <w:qFormat/>
    <w:rsid w:val="00F75320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75320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F75320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5320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5320"/>
    <w:rPr>
      <w:color w:val="5B9BD5" w:themeColor="accent1"/>
      <w:sz w:val="24"/>
      <w:szCs w:val="24"/>
    </w:rPr>
  </w:style>
  <w:style w:type="character" w:styleId="Wyrnieniedelikatne">
    <w:name w:val="Subtle Emphasis"/>
    <w:uiPriority w:val="19"/>
    <w:qFormat/>
    <w:rsid w:val="00F75320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F75320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F75320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F75320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F75320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75320"/>
    <w:pPr>
      <w:outlineLvl w:val="9"/>
    </w:pPr>
  </w:style>
  <w:style w:type="paragraph" w:styleId="Akapitzlist">
    <w:name w:val="List Paragraph"/>
    <w:basedOn w:val="Normalny"/>
    <w:uiPriority w:val="34"/>
    <w:qFormat/>
    <w:rsid w:val="00E32E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05D9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6D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36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malaszkola.pl/scenariusze-projektow-edukacyjnych/materialy-do-pobrania-scenariusz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FD75A-105F-40DD-A589-4A2E3135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Jarek</cp:lastModifiedBy>
  <cp:revision>2</cp:revision>
  <dcterms:created xsi:type="dcterms:W3CDTF">2018-10-10T18:20:00Z</dcterms:created>
  <dcterms:modified xsi:type="dcterms:W3CDTF">2018-10-10T18:20:00Z</dcterms:modified>
</cp:coreProperties>
</file>